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ind w:firstLine="708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>
      <w:pPr>
        <w:pStyle w:val="Normal"/>
        <w:ind w:firstLine="708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Московской области</w:t>
      </w:r>
    </w:p>
    <w:p>
      <w:pPr>
        <w:pStyle w:val="Normal"/>
        <w:ind w:firstLine="708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«Московский областной медицинский колледж №5»</w:t>
      </w:r>
    </w:p>
    <w:p>
      <w:pPr>
        <w:pStyle w:val="Normal"/>
        <w:ind w:firstLine="708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Мещерский филиал</w:t>
      </w:r>
    </w:p>
    <w:p>
      <w:pPr>
        <w:pStyle w:val="Normal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Специальность 34.02.01 «Сестринское дело»</w:t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Специальность 31.02.02 «Акушерское дело»</w:t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ЦМК «Общепрофессиональных дисциплин»</w:t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ОП.04 «Генетика человека с основами медицинской генетики»</w:t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Методическая разработка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внеаудиторного мероприятия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по теме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«Звездный час – Генетика человека»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Составила: 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преподаватель общепрофессиональных дисциплин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Егина О.В.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hanging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п. Мещерское</w:t>
      </w:r>
    </w:p>
    <w:p>
      <w:pPr>
        <w:pStyle w:val="Normal"/>
        <w:ind w:hanging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2021 год</w:t>
      </w:r>
      <w:r>
        <w:br w:type="page"/>
      </w:r>
    </w:p>
    <w:p>
      <w:pPr>
        <w:pStyle w:val="Normal"/>
        <w:ind w:hanging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Специальность: 34.02.01 «Сестринское дело», 31.02.02 «Акушерское дело»</w:t>
      </w:r>
    </w:p>
    <w:p>
      <w:pPr>
        <w:pStyle w:val="Normal"/>
        <w:widowControl w:val="false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Разработчик: преподаватель – Егина О. В.</w:t>
      </w:r>
    </w:p>
    <w:p>
      <w:pPr>
        <w:pStyle w:val="Normal"/>
        <w:widowControl w:val="false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tbl>
      <w:tblPr>
        <w:tblStyle w:val="Table1"/>
        <w:tblW w:w="960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784"/>
        <w:gridCol w:w="4821"/>
      </w:tblGrid>
      <w:tr>
        <w:trPr/>
        <w:tc>
          <w:tcPr>
            <w:tcW w:w="4784" w:type="dxa"/>
            <w:tcBorders/>
            <w:shd w:fill="auto" w:val="clear"/>
          </w:tcPr>
          <w:p>
            <w:pPr>
              <w:pStyle w:val="Normal"/>
              <w:shd w:val="clear" w:fill="FFFF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Рассмотрена и утверждена на заседании ЦМК «Общепрофессиональных дисциплин»</w:t>
            </w:r>
          </w:p>
          <w:p>
            <w:pPr>
              <w:pStyle w:val="Normal"/>
              <w:shd w:val="clear" w:fill="FFFFFF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Протокол №______от _____________2021г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Председатель ЦМК_____________________</w:t>
            </w:r>
          </w:p>
          <w:p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Никонова Н.П.</w:t>
            </w:r>
          </w:p>
        </w:tc>
        <w:tc>
          <w:tcPr>
            <w:tcW w:w="4821" w:type="dxa"/>
            <w:tcBorders/>
            <w:shd w:fill="auto" w:val="clear"/>
          </w:tcPr>
          <w:p>
            <w:pPr>
              <w:pStyle w:val="Normal"/>
              <w:ind w:right="142" w:hanging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Согласовано </w:t>
            </w:r>
          </w:p>
          <w:p>
            <w:pPr>
              <w:pStyle w:val="Normal"/>
              <w:ind w:right="142" w:hanging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Зам. директора по УР</w:t>
            </w:r>
          </w:p>
          <w:p>
            <w:pPr>
              <w:pStyle w:val="Normal"/>
              <w:ind w:right="142" w:hanging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ind w:right="142" w:hanging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«        »   ____________________   2021 год</w:t>
            </w:r>
          </w:p>
          <w:p>
            <w:pPr>
              <w:pStyle w:val="Normal"/>
              <w:ind w:right="142" w:hanging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ind w:right="142" w:hanging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____________________________________</w:t>
            </w:r>
          </w:p>
          <w:p>
            <w:pPr>
              <w:pStyle w:val="Normal"/>
              <w:ind w:right="142" w:hanging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Колесникова Е. М.</w:t>
            </w:r>
          </w:p>
          <w:p>
            <w:pPr>
              <w:pStyle w:val="Normal"/>
              <w:ind w:right="142" w:hanging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   </w:t>
            </w:r>
          </w:p>
          <w:p>
            <w:pPr>
              <w:pStyle w:val="Normal"/>
              <w:ind w:right="142" w:hanging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ind w:right="142"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                    </w:t>
            </w:r>
          </w:p>
        </w:tc>
      </w:tr>
    </w:tbl>
    <w:p>
      <w:pPr>
        <w:pStyle w:val="Normal"/>
        <w:shd w:val="clear" w:fill="FFFFFF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hd w:val="clear" w:fill="FFFFFF"/>
        <w:ind w:left="1505" w:hanging="0"/>
        <w:rPr>
          <w:rFonts w:ascii="Times New Roman" w:hAnsi="Times New Roman" w:eastAsia="Times New Roman" w:cs="Times New Roman"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i/>
          <w:sz w:val="24"/>
          <w:szCs w:val="24"/>
        </w:rPr>
      </w:r>
    </w:p>
    <w:p>
      <w:pPr>
        <w:pStyle w:val="Normal"/>
        <w:shd w:val="clear" w:fill="FFFFFF"/>
        <w:ind w:left="1505" w:hanging="0"/>
        <w:rPr>
          <w:rFonts w:ascii="Times New Roman" w:hAnsi="Times New Roman" w:eastAsia="Times New Roman" w:cs="Times New Roman"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i/>
          <w:sz w:val="24"/>
          <w:szCs w:val="24"/>
        </w:rPr>
      </w:r>
    </w:p>
    <w:p>
      <w:pPr>
        <w:pStyle w:val="Normal"/>
        <w:shd w:val="clear" w:fill="FFFFFF"/>
        <w:ind w:left="1505" w:hanging="0"/>
        <w:rPr>
          <w:rFonts w:ascii="Times New Roman" w:hAnsi="Times New Roman" w:eastAsia="Times New Roman" w:cs="Times New Roman"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i/>
          <w:sz w:val="24"/>
          <w:szCs w:val="24"/>
        </w:rPr>
      </w:r>
    </w:p>
    <w:p>
      <w:pPr>
        <w:pStyle w:val="Normal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Методическая разработка предназначена для проведения внеаудиторного мероприятия по закреплению изученного материала по дисциплине ОП.04 «Генетика человека с основами медицинской генетики» для студентов 2 года обучения по программам подготовки специалистов среднего звена по специальностям 34.02.01 «Сестринское дело», 1 года обучения по программам подготовки специалистов среднего звена по специальностям 31.02.02 «Акушерское дело. Мероприятие проводится в игровой форме, тематически направлена на актуализацию знаний по генетике человека, медицинской генетике и профилактике наследственных заболеваний. Таким образом, </w:t>
      </w:r>
      <w:r>
        <w:rPr>
          <w:rFonts w:eastAsia="Times New Roman" w:cs="Times New Roman" w:ascii="Times New Roman" w:hAnsi="Times New Roman"/>
          <w:sz w:val="24"/>
          <w:szCs w:val="24"/>
          <w:lang w:val="ru-RU"/>
        </w:rPr>
        <w:t>занятие-квиз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носит обобщающий характер, так как рассматриваемые темы представлены в усложняющейся последовательности изучаемой дисциплины (ОП.04 «Генетика человека с основами медицинской генетики»), формируя устойчивые знания для освоения профессиональных модулей (ПМ.01 «Проведение профилактических мероприятий», ПМ.02 «Участие в лечебно-диагностическом и реабилитационном процессах»). </w:t>
      </w:r>
    </w:p>
    <w:p>
      <w:pPr>
        <w:pStyle w:val="Normal"/>
        <w:keepNext/>
        <w:keepLines/>
        <w:spacing w:lineRule="auto" w:line="240" w:before="24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keepNext/>
        <w:keepLines/>
        <w:spacing w:lineRule="auto" w:line="240" w:before="24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Содержание</w:t>
      </w:r>
    </w:p>
    <w:p>
      <w:pPr>
        <w:pStyle w:val="Normal"/>
        <w:keepNext/>
        <w:keepLines/>
        <w:spacing w:lineRule="auto" w:line="240" w:before="240" w:after="0"/>
        <w:jc w:val="center"/>
        <w:rPr/>
      </w:pPr>
      <w:r>
        <w:rPr/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Normal"/>
            <w:tabs>
              <w:tab w:val="right" w:pos="10488" w:leader="none"/>
            </w:tabs>
            <w:spacing w:lineRule="auto" w:line="360"/>
            <w:rPr>
              <w:rFonts w:ascii="Times New Roman" w:hAnsi="Times New Roman" w:eastAsia="Times New Roman" w:cs="Times New Roman"/>
              <w:sz w:val="24"/>
              <w:szCs w:val="24"/>
            </w:rPr>
          </w:pPr>
          <w:r>
            <w:fldChar w:fldCharType="begin"/>
          </w:r>
          <w:r>
            <w:instrText> TOC \z \o "1-9" \u \h</w:instrText>
          </w:r>
          <w:r>
            <w:fldChar w:fldCharType="separate"/>
          </w:r>
          <w:hyperlink w:anchor="_gjdgxs">
            <w:r>
              <w:rPr>
                <w:webHidden/>
                <w:rStyle w:val="Style9"/>
                <w:rFonts w:eastAsia="Times New Roman" w:cs="Times New Roman" w:ascii="Times New Roman" w:hAnsi="Times New Roman"/>
                <w:sz w:val="24"/>
                <w:szCs w:val="24"/>
              </w:rPr>
              <w:t>Пояснительная записка</w:t>
            </w:r>
          </w:hyperlink>
          <w:r>
            <w:rPr>
              <w:rFonts w:eastAsia="Times New Roman" w:cs="Times New Roman" w:ascii="Times New Roman" w:hAnsi="Times New Roman"/>
              <w:sz w:val="24"/>
              <w:szCs w:val="24"/>
            </w:rPr>
            <w:tab/>
            <w:t>3</w:t>
          </w:r>
        </w:p>
        <w:p>
          <w:pPr>
            <w:pStyle w:val="Normal"/>
            <w:tabs>
              <w:tab w:val="right" w:pos="10488" w:leader="none"/>
            </w:tabs>
            <w:spacing w:lineRule="auto" w:line="360"/>
            <w:rPr>
              <w:rFonts w:ascii="Times New Roman" w:hAnsi="Times New Roman" w:eastAsia="Times New Roman" w:cs="Times New Roman"/>
              <w:sz w:val="24"/>
              <w:szCs w:val="24"/>
            </w:rPr>
          </w:pPr>
          <w:hyperlink w:anchor="_1fob9te">
            <w:r>
              <w:rPr>
                <w:webHidden/>
                <w:rStyle w:val="Style9"/>
                <w:rFonts w:eastAsia="Times New Roman" w:cs="Times New Roman" w:ascii="Times New Roman" w:hAnsi="Times New Roman"/>
                <w:sz w:val="24"/>
                <w:szCs w:val="24"/>
              </w:rPr>
              <w:t>Цели и задачи</w:t>
            </w:r>
          </w:hyperlink>
          <w:r>
            <w:rPr>
              <w:rFonts w:eastAsia="Times New Roman" w:cs="Times New Roman" w:ascii="Times New Roman" w:hAnsi="Times New Roman"/>
              <w:sz w:val="24"/>
              <w:szCs w:val="24"/>
            </w:rPr>
            <w:tab/>
            <w:t>4</w:t>
          </w:r>
        </w:p>
        <w:p>
          <w:pPr>
            <w:pStyle w:val="Normal"/>
            <w:tabs>
              <w:tab w:val="right" w:pos="10488" w:leader="none"/>
            </w:tabs>
            <w:spacing w:lineRule="auto" w:line="360"/>
            <w:rPr>
              <w:rFonts w:ascii="Times New Roman" w:hAnsi="Times New Roman" w:eastAsia="Times New Roman" w:cs="Times New Roman"/>
              <w:sz w:val="24"/>
              <w:szCs w:val="24"/>
            </w:rPr>
          </w:pPr>
          <w:hyperlink w:anchor="_iu7sa5fhuzpv">
            <w:r>
              <w:rPr>
                <w:webHidden/>
                <w:rStyle w:val="Style9"/>
                <w:rFonts w:eastAsia="Times New Roman" w:cs="Times New Roman" w:ascii="Times New Roman" w:hAnsi="Times New Roman"/>
                <w:sz w:val="24"/>
                <w:szCs w:val="24"/>
              </w:rPr>
              <w:t>Основная часть</w:t>
            </w:r>
          </w:hyperlink>
          <w:r>
            <w:rPr>
              <w:rFonts w:eastAsia="Times New Roman" w:cs="Times New Roman" w:ascii="Times New Roman" w:hAnsi="Times New Roman"/>
              <w:sz w:val="24"/>
              <w:szCs w:val="24"/>
            </w:rPr>
            <w:tab/>
            <w:t>5</w:t>
          </w:r>
        </w:p>
        <w:p>
          <w:pPr>
            <w:pStyle w:val="Normal"/>
            <w:tabs>
              <w:tab w:val="right" w:pos="10488" w:leader="none"/>
            </w:tabs>
            <w:spacing w:lineRule="auto" w:line="360"/>
            <w:ind w:left="360" w:hanging="0"/>
            <w:rPr>
              <w:rFonts w:ascii="Times New Roman" w:hAnsi="Times New Roman" w:eastAsia="Times New Roman" w:cs="Times New Roman"/>
              <w:sz w:val="24"/>
              <w:szCs w:val="24"/>
            </w:rPr>
          </w:pPr>
          <w:hyperlink w:anchor="_2et92p0">
            <w:r>
              <w:rPr>
                <w:webHidden/>
                <w:rStyle w:val="Style9"/>
                <w:rFonts w:eastAsia="Times New Roman" w:cs="Times New Roman" w:ascii="Times New Roman" w:hAnsi="Times New Roman"/>
                <w:sz w:val="24"/>
                <w:szCs w:val="24"/>
              </w:rPr>
              <w:t>Техническое и информационное оснащение:</w:t>
            </w:r>
          </w:hyperlink>
          <w:r>
            <w:rPr>
              <w:rFonts w:eastAsia="Times New Roman" w:cs="Times New Roman" w:ascii="Times New Roman" w:hAnsi="Times New Roman"/>
              <w:sz w:val="24"/>
              <w:szCs w:val="24"/>
            </w:rPr>
            <w:tab/>
            <w:t>5</w:t>
          </w:r>
        </w:p>
        <w:p>
          <w:pPr>
            <w:pStyle w:val="Normal"/>
            <w:tabs>
              <w:tab w:val="right" w:pos="10488" w:leader="none"/>
            </w:tabs>
            <w:spacing w:lineRule="auto" w:line="360"/>
            <w:ind w:left="360" w:hanging="0"/>
            <w:rPr>
              <w:rFonts w:ascii="Times New Roman" w:hAnsi="Times New Roman" w:eastAsia="Times New Roman" w:cs="Times New Roman"/>
              <w:sz w:val="24"/>
              <w:szCs w:val="24"/>
            </w:rPr>
          </w:pPr>
          <w:hyperlink w:anchor="_tyjcwt">
            <w:r>
              <w:rPr>
                <w:webHidden/>
                <w:rStyle w:val="Style9"/>
                <w:rFonts w:eastAsia="Times New Roman" w:cs="Times New Roman" w:ascii="Times New Roman" w:hAnsi="Times New Roman"/>
                <w:sz w:val="24"/>
                <w:szCs w:val="24"/>
              </w:rPr>
              <w:t>Документационное обеспечение</w:t>
            </w:r>
          </w:hyperlink>
          <w:r>
            <w:rPr>
              <w:rFonts w:eastAsia="Times New Roman" w:cs="Times New Roman" w:ascii="Times New Roman" w:hAnsi="Times New Roman"/>
              <w:sz w:val="24"/>
              <w:szCs w:val="24"/>
            </w:rPr>
            <w:tab/>
            <w:t>5</w:t>
          </w:r>
        </w:p>
        <w:p>
          <w:pPr>
            <w:pStyle w:val="Normal"/>
            <w:tabs>
              <w:tab w:val="right" w:pos="10488" w:leader="none"/>
            </w:tabs>
            <w:spacing w:lineRule="auto" w:line="360"/>
            <w:ind w:left="360" w:hanging="0"/>
            <w:rPr>
              <w:rFonts w:ascii="Times New Roman" w:hAnsi="Times New Roman" w:eastAsia="Times New Roman" w:cs="Times New Roman"/>
              <w:sz w:val="24"/>
              <w:szCs w:val="24"/>
            </w:rPr>
          </w:pPr>
          <w:hyperlink w:anchor="_3dy6vkm">
            <w:r>
              <w:rPr>
                <w:webHidden/>
                <w:rStyle w:val="Style9"/>
                <w:rFonts w:eastAsia="Times New Roman" w:cs="Times New Roman" w:ascii="Times New Roman" w:hAnsi="Times New Roman"/>
                <w:sz w:val="24"/>
                <w:szCs w:val="24"/>
              </w:rPr>
              <w:t>Организаторы и участники</w:t>
            </w:r>
          </w:hyperlink>
          <w:r>
            <w:rPr>
              <w:rFonts w:eastAsia="Times New Roman" w:cs="Times New Roman" w:ascii="Times New Roman" w:hAnsi="Times New Roman"/>
              <w:sz w:val="24"/>
              <w:szCs w:val="24"/>
            </w:rPr>
            <w:tab/>
            <w:t>5</w:t>
          </w:r>
        </w:p>
        <w:p>
          <w:pPr>
            <w:pStyle w:val="Normal"/>
            <w:tabs>
              <w:tab w:val="right" w:pos="10488" w:leader="none"/>
            </w:tabs>
            <w:spacing w:lineRule="auto" w:line="360"/>
            <w:ind w:left="360" w:hanging="0"/>
            <w:rPr>
              <w:rFonts w:ascii="Times New Roman" w:hAnsi="Times New Roman" w:eastAsia="Times New Roman" w:cs="Times New Roman"/>
              <w:sz w:val="24"/>
              <w:szCs w:val="24"/>
            </w:rPr>
          </w:pPr>
          <w:hyperlink w:anchor="_1t3h5sf">
            <w:r>
              <w:rPr>
                <w:webHidden/>
                <w:rStyle w:val="Style9"/>
                <w:rFonts w:eastAsia="Times New Roman" w:cs="Times New Roman" w:ascii="Times New Roman" w:hAnsi="Times New Roman"/>
                <w:sz w:val="24"/>
                <w:szCs w:val="24"/>
              </w:rPr>
              <w:t>Основные правила</w:t>
            </w:r>
          </w:hyperlink>
          <w:r>
            <w:rPr>
              <w:rFonts w:eastAsia="Times New Roman" w:cs="Times New Roman" w:ascii="Times New Roman" w:hAnsi="Times New Roman"/>
              <w:sz w:val="24"/>
              <w:szCs w:val="24"/>
            </w:rPr>
            <w:tab/>
            <w:t>5</w:t>
          </w:r>
        </w:p>
        <w:p>
          <w:pPr>
            <w:pStyle w:val="Normal"/>
            <w:tabs>
              <w:tab w:val="right" w:pos="10488" w:leader="none"/>
            </w:tabs>
            <w:spacing w:lineRule="auto" w:line="360"/>
            <w:ind w:left="360" w:hanging="0"/>
            <w:rPr>
              <w:rFonts w:ascii="Times New Roman" w:hAnsi="Times New Roman" w:eastAsia="Times New Roman" w:cs="Times New Roman"/>
              <w:sz w:val="24"/>
              <w:szCs w:val="24"/>
            </w:rPr>
          </w:pPr>
          <w:hyperlink w:anchor="_4d34og8">
            <w:r>
              <w:rPr>
                <w:webHidden/>
                <w:rStyle w:val="Style9"/>
                <w:rFonts w:eastAsia="Times New Roman" w:cs="Times New Roman" w:ascii="Times New Roman" w:hAnsi="Times New Roman"/>
                <w:sz w:val="24"/>
                <w:szCs w:val="24"/>
              </w:rPr>
              <w:t>Содержание игры</w:t>
            </w:r>
          </w:hyperlink>
          <w:r>
            <w:rPr>
              <w:rFonts w:eastAsia="Times New Roman" w:cs="Times New Roman" w:ascii="Times New Roman" w:hAnsi="Times New Roman"/>
              <w:sz w:val="24"/>
              <w:szCs w:val="24"/>
            </w:rPr>
            <w:tab/>
            <w:t>6</w:t>
          </w:r>
        </w:p>
        <w:p>
          <w:pPr>
            <w:pStyle w:val="Normal"/>
            <w:tabs>
              <w:tab w:val="right" w:pos="10488" w:leader="none"/>
            </w:tabs>
            <w:spacing w:lineRule="auto" w:line="360"/>
            <w:rPr>
              <w:rFonts w:ascii="Times New Roman" w:hAnsi="Times New Roman" w:eastAsia="Times New Roman" w:cs="Times New Roman"/>
              <w:sz w:val="24"/>
              <w:szCs w:val="24"/>
            </w:rPr>
          </w:pPr>
          <w:hyperlink w:anchor="_2s8eyo1">
            <w:r>
              <w:rPr>
                <w:webHidden/>
                <w:rStyle w:val="Style9"/>
                <w:rFonts w:eastAsia="Times New Roman" w:cs="Times New Roman" w:ascii="Times New Roman" w:hAnsi="Times New Roman"/>
                <w:sz w:val="24"/>
                <w:szCs w:val="24"/>
              </w:rPr>
              <w:t>Список использованной литературы</w:t>
            </w:r>
          </w:hyperlink>
          <w:r>
            <w:rPr>
              <w:rFonts w:eastAsia="Times New Roman" w:cs="Times New Roman" w:ascii="Times New Roman" w:hAnsi="Times New Roman"/>
              <w:sz w:val="24"/>
              <w:szCs w:val="24"/>
            </w:rPr>
            <w:tab/>
            <w:t>6</w:t>
          </w:r>
        </w:p>
        <w:p>
          <w:pPr>
            <w:pStyle w:val="Normal"/>
            <w:tabs>
              <w:tab w:val="right" w:pos="10488" w:leader="none"/>
            </w:tabs>
            <w:spacing w:lineRule="auto" w:line="360" w:before="0" w:after="80"/>
            <w:rPr/>
          </w:pPr>
          <w:hyperlink w:anchor="_4qjcj4fxhmhi">
            <w:r>
              <w:rPr>
                <w:webHidden/>
                <w:rStyle w:val="Style9"/>
                <w:rFonts w:eastAsia="Times New Roman" w:cs="Times New Roman" w:ascii="Times New Roman" w:hAnsi="Times New Roman"/>
                <w:sz w:val="24"/>
                <w:szCs w:val="24"/>
              </w:rPr>
              <w:t>Приложение</w:t>
            </w:r>
          </w:hyperlink>
          <w:r>
            <w:rPr>
              <w:rFonts w:eastAsia="Times New Roman" w:cs="Times New Roman" w:ascii="Times New Roman" w:hAnsi="Times New Roman"/>
              <w:sz w:val="24"/>
              <w:szCs w:val="24"/>
            </w:rPr>
            <w:tab/>
            <w:t>7</w:t>
          </w:r>
          <w:r>
            <w:fldChar w:fldCharType="end"/>
          </w:r>
        </w:p>
      </w:sdtContent>
    </w:sdt>
    <w:p>
      <w:pPr>
        <w:pStyle w:val="Normal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1"/>
        <w:spacing w:lineRule="auto" w:line="240" w:before="24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bookmarkStart w:id="0" w:name="_gjdgxs"/>
      <w:bookmarkEnd w:id="0"/>
      <w:r>
        <w:rPr>
          <w:rFonts w:eastAsia="Times New Roman" w:cs="Times New Roman" w:ascii="Times New Roman" w:hAnsi="Times New Roman"/>
          <w:b/>
          <w:sz w:val="24"/>
          <w:szCs w:val="24"/>
        </w:rPr>
        <w:t>Пояснительная записка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Средний мед.персонал обязан знать теоретическую основу своей профессии, обладать всеми необходимыми навыками для качественного осуществления своей повседневной деятельности, а также принимать участие в просветительской работе среди населения. [2]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 структуре специализированной помощи семьям с наследственной патологией медико-генетическая служба начинает занимать все возрастающее значение. Формирование медико-генетической службы в России предусматривает ее многоуровневый характер. Первый уровень включает общебольничную сеть, второй — областные больницы и медико-генетические консультации, третий — межобластные медико-генетические центры и четвертый — федеральные центры наследственной патологии. На первом и втором уровне для проведения просветительских программ, являющихся в практике здравоохранения одним из принципиальных отличительных признаков медицины XXI века, широко привлекают средний медицинский персонал. [3]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Период получения среднего медицинского образования будущий специалист должен приобрести:</w:t>
      </w:r>
    </w:p>
    <w:p>
      <w:pPr>
        <w:pStyle w:val="Normal"/>
        <w:numPr>
          <w:ilvl w:val="0"/>
          <w:numId w:val="4"/>
        </w:numPr>
        <w:ind w:left="1134" w:hanging="425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умения</w:t>
      </w:r>
    </w:p>
    <w:p>
      <w:pPr>
        <w:pStyle w:val="Normal"/>
        <w:numPr>
          <w:ilvl w:val="0"/>
          <w:numId w:val="7"/>
        </w:numPr>
        <w:ind w:left="283" w:hanging="212"/>
        <w:jc w:val="both"/>
        <w:rPr>
          <w:rFonts w:ascii="Times New Roman" w:hAnsi="Times New Roman" w:eastAsia="Times New Roman" w:cs="Times New Roman"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проводить опрос и вести учет пациентов с наследственной патологией;</w:t>
      </w:r>
    </w:p>
    <w:p>
      <w:pPr>
        <w:pStyle w:val="Normal"/>
        <w:numPr>
          <w:ilvl w:val="0"/>
          <w:numId w:val="7"/>
        </w:numPr>
        <w:ind w:left="283" w:hanging="21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проводить беседы по планированию семьи с учетом имеющейся наследственной патологии;</w:t>
      </w:r>
    </w:p>
    <w:p>
      <w:pPr>
        <w:pStyle w:val="Normal"/>
        <w:numPr>
          <w:ilvl w:val="0"/>
          <w:numId w:val="7"/>
        </w:numPr>
        <w:ind w:left="283" w:hanging="21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проводить предварительную диагностику наследственных болезней;</w:t>
      </w:r>
    </w:p>
    <w:p>
      <w:pPr>
        <w:pStyle w:val="Normal"/>
        <w:numPr>
          <w:ilvl w:val="0"/>
          <w:numId w:val="4"/>
        </w:numPr>
        <w:ind w:left="1134" w:hanging="425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знания</w:t>
      </w:r>
    </w:p>
    <w:p>
      <w:pPr>
        <w:pStyle w:val="Normal"/>
        <w:numPr>
          <w:ilvl w:val="0"/>
          <w:numId w:val="7"/>
        </w:numPr>
        <w:ind w:left="354" w:hanging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 биохимических и цитологических основах наследственности;</w:t>
      </w:r>
    </w:p>
    <w:p>
      <w:pPr>
        <w:pStyle w:val="Normal"/>
        <w:numPr>
          <w:ilvl w:val="0"/>
          <w:numId w:val="7"/>
        </w:numPr>
        <w:ind w:left="354" w:hanging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 закономерностях наследования признаков и видах взаимодействия генов;</w:t>
      </w:r>
    </w:p>
    <w:p>
      <w:pPr>
        <w:pStyle w:val="Normal"/>
        <w:numPr>
          <w:ilvl w:val="0"/>
          <w:numId w:val="7"/>
        </w:numPr>
        <w:ind w:left="354" w:hanging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 типах наследования признаков;</w:t>
      </w:r>
    </w:p>
    <w:p>
      <w:pPr>
        <w:pStyle w:val="Normal"/>
        <w:numPr>
          <w:ilvl w:val="0"/>
          <w:numId w:val="7"/>
        </w:numPr>
        <w:ind w:left="354" w:hanging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 методах изучения наследственности и изменчивости человека в норме и патологии;</w:t>
      </w:r>
    </w:p>
    <w:p>
      <w:pPr>
        <w:pStyle w:val="Normal"/>
        <w:numPr>
          <w:ilvl w:val="0"/>
          <w:numId w:val="7"/>
        </w:numPr>
        <w:ind w:left="354" w:hanging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 основных видах изменчивости, видах мутаций у человека, факторах мутагенеза;</w:t>
      </w:r>
    </w:p>
    <w:p>
      <w:pPr>
        <w:pStyle w:val="Normal"/>
        <w:numPr>
          <w:ilvl w:val="0"/>
          <w:numId w:val="7"/>
        </w:numPr>
        <w:ind w:left="354" w:hanging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 основных группах наследственных заболеваний, причинах и механизмах возникновения;</w:t>
      </w:r>
    </w:p>
    <w:p>
      <w:pPr>
        <w:pStyle w:val="Normal"/>
        <w:numPr>
          <w:ilvl w:val="0"/>
          <w:numId w:val="7"/>
        </w:numPr>
        <w:ind w:left="354" w:hanging="283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 целях, задачах, методах и показаниях к медико-генетическому консультированию.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Долг средних медицинских работников — учить население не только сохранению собственного здоровья, но и ответственности за здоровье будущих детей, участию в создании и усовершенствовании укрепляющих здоровье условий жизни и труда, полноценному выполнению людьми их разнообразных социальных функций. Для выполнения данных функций средний медицинский персонал должен обладать личностными качествами, способствующими активному взаимодействию с пациентами. Формированию данных качеств должно помочь использование в процессе обучения активных инновационных образовательных технологий, которым относится интеллектуальная игра.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Интеллектуальная игра должна занять в практике обучения достойное место, так как, в отличие от многих традиционных приемов, больше ориентирована на формирование профессионально важных качеств личности, особенно в сфере деятельности, связанной с интерпретацией и распространением социально-значимой информации.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Данная игра представляет собой викторину и предполагает проверку знаний студентов по генетике человека, медицинской генетике и медико-генетическому консультированию. 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Таким образом, интеллектуальная игра профилактической направленности «Звездный час – Генетика человека» предназначена для студентов, обучающихся по специальностям среднего медицинского образования (в т.ч. «Сестринское дело» и «Акушерское дело») в период изучения дисциплин «Генетика человека с основами медицинской генетики». 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Игра представлена в виде презентации с гиперссылками, что позволяет визуализировать игру и оперативно использовать с применением интерактивного оборудования. Игра может носить индивидуальный или командный характер. 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id="1" w:name="_30j0zll"/>
      <w:bookmarkEnd w:id="1"/>
      <w:r>
        <w:rPr>
          <w:rFonts w:eastAsia="Times New Roman" w:cs="Times New Roman" w:ascii="Times New Roman" w:hAnsi="Times New Roman"/>
          <w:sz w:val="24"/>
          <w:szCs w:val="24"/>
        </w:rPr>
        <w:t xml:space="preserve">Данная методическая разработка содержит документальное и информационное обеспечение для проведения внеаудиторного мероприятия.  </w:t>
      </w:r>
    </w:p>
    <w:p>
      <w:pPr>
        <w:pStyle w:val="1"/>
        <w:spacing w:lineRule="auto" w:line="240" w:before="24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bookmarkStart w:id="2" w:name="_1fob9te"/>
      <w:bookmarkEnd w:id="2"/>
      <w:r>
        <w:rPr>
          <w:rFonts w:eastAsia="Times New Roman" w:cs="Times New Roman" w:ascii="Times New Roman" w:hAnsi="Times New Roman"/>
          <w:b/>
          <w:sz w:val="24"/>
          <w:szCs w:val="24"/>
        </w:rPr>
        <w:t>Цели и задачи</w:t>
      </w:r>
    </w:p>
    <w:p>
      <w:pPr>
        <w:pStyle w:val="Normal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id="3" w:name="_3znysh7"/>
      <w:bookmarkEnd w:id="3"/>
      <w:r>
        <w:rPr>
          <w:rFonts w:eastAsia="Times New Roman" w:cs="Times New Roman" w:ascii="Times New Roman" w:hAnsi="Times New Roman"/>
          <w:sz w:val="24"/>
          <w:szCs w:val="24"/>
        </w:rPr>
        <w:t>Основными целями организации и проведения интеллектуальной игры профилактической направленности «Звездный час – Генетика человека» является: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закрепление знаний, полученных при изучении дисциплины «Генетика человека с основами медицинской генетики»;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расширение и систематизация знания студентов по профилактике рождения детей с наследственными патологиями;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создание условий для формирования и сплочения групп.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Основные задачи: 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раскрыть понятия генетики человека и наследственные патологии через систему вопросов;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актуализировать знания по профилактике наследственных патологий, 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привлечь внимание студентов к изучению дисциплины «Генетика человека с основами медицинской генетики»;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создать условий для позитивной самореализации студентов</w:t>
      </w:r>
    </w:p>
    <w:p>
      <w:pPr>
        <w:pStyle w:val="Normal"/>
        <w:numPr>
          <w:ilvl w:val="0"/>
          <w:numId w:val="5"/>
        </w:numPr>
        <w:ind w:left="709" w:hanging="4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выработать навыки эффективного взаимодействия между участниками команды.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1"/>
        <w:spacing w:lineRule="auto" w:line="240" w:before="24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bookmarkStart w:id="4" w:name="_iu7sa5fhuzpv"/>
      <w:bookmarkEnd w:id="4"/>
      <w:r>
        <w:rPr>
          <w:rFonts w:eastAsia="Times New Roman" w:cs="Times New Roman" w:ascii="Times New Roman" w:hAnsi="Times New Roman"/>
          <w:b/>
          <w:sz w:val="24"/>
          <w:szCs w:val="24"/>
        </w:rPr>
        <w:t>Основная часть</w:t>
      </w:r>
    </w:p>
    <w:p>
      <w:pPr>
        <w:pStyle w:val="2"/>
        <w:spacing w:lineRule="auto" w:line="240" w:before="40" w:after="0"/>
        <w:rPr>
          <w:rFonts w:ascii="Times New Roman" w:hAnsi="Times New Roman" w:eastAsia="Times New Roman" w:cs="Times New Roman"/>
          <w:sz w:val="24"/>
          <w:szCs w:val="24"/>
        </w:rPr>
      </w:pPr>
      <w:bookmarkStart w:id="5" w:name="_2et92p0"/>
      <w:bookmarkEnd w:id="5"/>
      <w:r>
        <w:rPr>
          <w:rFonts w:eastAsia="Times New Roman" w:cs="Times New Roman" w:ascii="Times New Roman" w:hAnsi="Times New Roman"/>
          <w:sz w:val="24"/>
          <w:szCs w:val="24"/>
        </w:rPr>
        <w:t>Техническое и информационное оснащение:</w:t>
      </w:r>
    </w:p>
    <w:p>
      <w:pPr>
        <w:pStyle w:val="Normal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Проектор – 1 шт</w:t>
      </w:r>
    </w:p>
    <w:p>
      <w:pPr>
        <w:pStyle w:val="Normal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Компьютер (ноутбук) – 1 шт</w:t>
      </w:r>
    </w:p>
    <w:p>
      <w:pPr>
        <w:pStyle w:val="Normal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Экран – 1 шт</w:t>
      </w:r>
    </w:p>
    <w:p>
      <w:pPr>
        <w:pStyle w:val="Normal"/>
        <w:numPr>
          <w:ilvl w:val="0"/>
          <w:numId w:val="1"/>
        </w:numPr>
        <w:ind w:left="720" w:hanging="360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Игра «Генетика человека» выполнена в MS Power Point (приложение </w:t>
      </w:r>
      <w:r>
        <w:rPr>
          <w:rFonts w:eastAsia="Times New Roman" w:cs="Times New Roman" w:ascii="Times New Roman" w:hAnsi="Times New Roman"/>
          <w:sz w:val="24"/>
          <w:szCs w:val="24"/>
        </w:rPr>
        <w:t>2</w:t>
      </w:r>
      <w:r>
        <w:rPr>
          <w:rFonts w:eastAsia="Times New Roman" w:cs="Times New Roman" w:ascii="Times New Roman" w:hAnsi="Times New Roman"/>
          <w:sz w:val="24"/>
          <w:szCs w:val="24"/>
        </w:rPr>
        <w:t>)</w:t>
      </w:r>
    </w:p>
    <w:p>
      <w:pPr>
        <w:pStyle w:val="Normal"/>
        <w:numPr>
          <w:ilvl w:val="0"/>
          <w:numId w:val="1"/>
        </w:numPr>
        <w:ind w:left="720" w:hanging="36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Автоматизированный (интерактивный) подсчет набранных баллов, реализованный в MS Excel. </w:t>
      </w:r>
    </w:p>
    <w:p>
      <w:pPr>
        <w:pStyle w:val="Normal"/>
        <w:numPr>
          <w:ilvl w:val="0"/>
          <w:numId w:val="1"/>
        </w:numPr>
        <w:ind w:left="720" w:hanging="360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Трибуна для ведущего </w:t>
      </w:r>
      <w:r>
        <w:rPr>
          <w:rFonts w:eastAsia="Times New Roman" w:cs="Times New Roman" w:ascii="Times New Roman" w:hAnsi="Times New Roman"/>
          <w:color w:val="FFFFFF"/>
          <w:sz w:val="24"/>
          <w:szCs w:val="24"/>
        </w:rPr>
        <w:t xml:space="preserve">3 игровых стола </w:t>
      </w:r>
    </w:p>
    <w:p>
      <w:pPr>
        <w:pStyle w:val="2"/>
        <w:spacing w:lineRule="auto" w:line="240" w:before="40" w:after="0"/>
        <w:rPr>
          <w:rFonts w:ascii="Times New Roman" w:hAnsi="Times New Roman" w:eastAsia="Times New Roman" w:cs="Times New Roman"/>
          <w:sz w:val="24"/>
          <w:szCs w:val="24"/>
        </w:rPr>
      </w:pPr>
      <w:bookmarkStart w:id="6" w:name="_tyjcwt"/>
      <w:bookmarkEnd w:id="6"/>
      <w:r>
        <w:rPr>
          <w:rFonts w:eastAsia="Times New Roman" w:cs="Times New Roman" w:ascii="Times New Roman" w:hAnsi="Times New Roman"/>
          <w:sz w:val="24"/>
          <w:szCs w:val="24"/>
        </w:rPr>
        <w:t>Документационное обеспечение</w:t>
      </w:r>
    </w:p>
    <w:p>
      <w:pPr>
        <w:pStyle w:val="Normal"/>
        <w:numPr>
          <w:ilvl w:val="0"/>
          <w:numId w:val="2"/>
        </w:numPr>
        <w:ind w:left="851" w:hanging="425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Сценарий для ведущего (приложение </w:t>
      </w:r>
      <w:r>
        <w:rPr>
          <w:rFonts w:eastAsia="Times New Roman" w:cs="Times New Roman" w:ascii="Times New Roman" w:hAnsi="Times New Roman"/>
          <w:sz w:val="24"/>
          <w:szCs w:val="24"/>
        </w:rPr>
        <w:t>1</w:t>
      </w:r>
      <w:r>
        <w:rPr>
          <w:rFonts w:eastAsia="Times New Roman" w:cs="Times New Roman" w:ascii="Times New Roman" w:hAnsi="Times New Roman"/>
          <w:sz w:val="24"/>
          <w:szCs w:val="24"/>
        </w:rPr>
        <w:t>)</w:t>
      </w:r>
    </w:p>
    <w:p>
      <w:pPr>
        <w:pStyle w:val="Normal"/>
        <w:numPr>
          <w:ilvl w:val="0"/>
          <w:numId w:val="2"/>
        </w:numPr>
        <w:ind w:left="851" w:hanging="42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Жетоны участникам за правильный ответ</w:t>
      </w:r>
    </w:p>
    <w:p>
      <w:pPr>
        <w:pStyle w:val="Normal"/>
        <w:numPr>
          <w:ilvl w:val="0"/>
          <w:numId w:val="2"/>
        </w:numPr>
        <w:ind w:left="851" w:hanging="42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Призы для награждения (дипломы)</w:t>
      </w:r>
    </w:p>
    <w:p>
      <w:pPr>
        <w:pStyle w:val="2"/>
        <w:spacing w:lineRule="auto" w:line="240" w:before="40" w:after="0"/>
        <w:rPr>
          <w:rFonts w:ascii="Times New Roman" w:hAnsi="Times New Roman" w:eastAsia="Times New Roman" w:cs="Times New Roman"/>
          <w:sz w:val="24"/>
          <w:szCs w:val="24"/>
        </w:rPr>
      </w:pPr>
      <w:bookmarkStart w:id="7" w:name="_3dy6vkm"/>
      <w:bookmarkEnd w:id="7"/>
      <w:r>
        <w:rPr>
          <w:rFonts w:eastAsia="Times New Roman" w:cs="Times New Roman" w:ascii="Times New Roman" w:hAnsi="Times New Roman"/>
          <w:sz w:val="24"/>
          <w:szCs w:val="24"/>
        </w:rPr>
        <w:t>Организаторы и участники</w:t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Для проведения игры необходимы</w:t>
      </w:r>
    </w:p>
    <w:p>
      <w:pPr>
        <w:pStyle w:val="Normal"/>
        <w:numPr>
          <w:ilvl w:val="0"/>
          <w:numId w:val="8"/>
        </w:numPr>
        <w:ind w:left="788" w:hanging="3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ведущий (определяет отвечающих и зачитывает вопросы)</w:t>
      </w:r>
    </w:p>
    <w:p>
      <w:pPr>
        <w:pStyle w:val="Normal"/>
        <w:numPr>
          <w:ilvl w:val="0"/>
          <w:numId w:val="8"/>
        </w:numPr>
        <w:ind w:left="788" w:hanging="3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 ассистента, которые выдают жетоны за правильные ответы</w:t>
      </w:r>
    </w:p>
    <w:p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 игре участвуют студенты индивидуально.</w:t>
      </w:r>
    </w:p>
    <w:p>
      <w:pPr>
        <w:pStyle w:val="Normal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Группа болельщиков готовит выступление со слоганом по пропаганде здорового образа жизни. </w:t>
      </w:r>
    </w:p>
    <w:p>
      <w:pPr>
        <w:pStyle w:val="2"/>
        <w:spacing w:lineRule="auto" w:line="240" w:before="40" w:after="0"/>
        <w:rPr>
          <w:rFonts w:ascii="Times New Roman" w:hAnsi="Times New Roman" w:eastAsia="Times New Roman" w:cs="Times New Roman"/>
          <w:sz w:val="24"/>
          <w:szCs w:val="24"/>
        </w:rPr>
      </w:pPr>
      <w:bookmarkStart w:id="8" w:name="_1t3h5sf"/>
      <w:bookmarkEnd w:id="8"/>
      <w:r>
        <w:rPr>
          <w:rFonts w:eastAsia="Times New Roman" w:cs="Times New Roman" w:ascii="Times New Roman" w:hAnsi="Times New Roman"/>
          <w:sz w:val="24"/>
          <w:szCs w:val="24"/>
        </w:rPr>
        <w:t xml:space="preserve">Основные правила 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 Правила аналогичны правилам одноименной телевизионной игры «Своя игра».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 В игре участвуют студенты 2.9 м/с курса и 1.11 а/к.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 За каждый правильный ответ студенты получают жетоны.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 Право ответа во всех раундах имеет студент первый поднявший руку после вопроса ведущего.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5. Право первого ответа в последнем раунде определяет жребий.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6. Перед последним раундом проводится подсчет жетонов-баллов.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7. Три студента, набравшие наибольшее количество баллов-жетонов принимают участие в последнем раунде имеет команда с меньшим количеством баллов, среди них определяется победитель игры.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8.  В заключительном раунде участвуют три студента, набравшие наибольшее количество баллов. Они получают по 1 листу бумаги для личных пометок. Затем ведущий зачитывает вопрос, а игроки разгадывают фразу, из представленных букв.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9. В игре побеждает студент, правильно ответивший на вопрос последнего раунда. </w:t>
      </w:r>
    </w:p>
    <w:p>
      <w:pPr>
        <w:pStyle w:val="2"/>
        <w:spacing w:lineRule="auto" w:line="240" w:before="40" w:after="0"/>
        <w:rPr>
          <w:rFonts w:ascii="Times New Roman" w:hAnsi="Times New Roman" w:eastAsia="Times New Roman" w:cs="Times New Roman"/>
          <w:sz w:val="24"/>
          <w:szCs w:val="24"/>
        </w:rPr>
      </w:pPr>
      <w:bookmarkStart w:id="9" w:name="_4d34og8"/>
      <w:bookmarkEnd w:id="9"/>
      <w:r>
        <w:rPr>
          <w:rFonts w:eastAsia="Times New Roman" w:cs="Times New Roman" w:ascii="Times New Roman" w:hAnsi="Times New Roman"/>
          <w:sz w:val="24"/>
          <w:szCs w:val="24"/>
        </w:rPr>
        <w:t xml:space="preserve">Содержание игры </w:t>
      </w:r>
    </w:p>
    <w:p>
      <w:pPr>
        <w:pStyle w:val="Normal"/>
        <w:ind w:firstLine="709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Всего в игре представлен 32 вопроса с ответами, реализованных в 35 слайдах презентации. (приложение </w:t>
      </w:r>
      <w:r>
        <w:rPr>
          <w:rFonts w:eastAsia="Times New Roman" w:cs="Times New Roman" w:ascii="Times New Roman" w:hAnsi="Times New Roman"/>
          <w:sz w:val="24"/>
          <w:szCs w:val="24"/>
        </w:rPr>
        <w:t>2</w:t>
      </w:r>
      <w:r>
        <w:rPr>
          <w:rFonts w:eastAsia="Times New Roman" w:cs="Times New Roman" w:ascii="Times New Roman" w:hAnsi="Times New Roman"/>
          <w:sz w:val="24"/>
          <w:szCs w:val="24"/>
        </w:rPr>
        <w:t>)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 игре представлено 5 раундов.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1 раунд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с темой «Цитохимические основы наследственности», в котором разыгрывается три темы: «ДНК», «Ген», «Хромосомы».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2 раунд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с темой «История генетики», в котором разыгрывается вопросы из истории науки. 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3 раунд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с темой «Наследственность и изменчивость», в котором разыгрывается три темы: «Методы исследования», «Мутации», «Изменчивость», «Наследование крови». 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4 раунд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с темой «Наследственные болезни», в котором разыгрывается три темы: «Гетероплоидии», «Ферментопатии», «Врожденные аномалии», «Врожденные признаки», «Профилактика». 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5 раунд </w:t>
      </w:r>
      <w:r>
        <w:rPr>
          <w:rFonts w:eastAsia="Times New Roman" w:cs="Times New Roman" w:ascii="Times New Roman" w:hAnsi="Times New Roman"/>
          <w:sz w:val="24"/>
          <w:szCs w:val="24"/>
        </w:rPr>
        <w:t>(Заключительный раунд)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состоит из 1 вопроса по теме:  «Орфанные болезни».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Для составления заданий были использованы оригинальные вопросы.</w:t>
      </w:r>
    </w:p>
    <w:p>
      <w:pPr>
        <w:pStyle w:val="1"/>
        <w:spacing w:lineRule="auto" w:line="240" w:before="24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bookmarkStart w:id="10" w:name="_2s8eyo1"/>
      <w:bookmarkEnd w:id="10"/>
      <w:r>
        <w:rPr>
          <w:rFonts w:eastAsia="Times New Roman" w:cs="Times New Roman" w:ascii="Times New Roman" w:hAnsi="Times New Roman"/>
          <w:b/>
          <w:sz w:val="24"/>
          <w:szCs w:val="24"/>
        </w:rPr>
        <w:t>Список использованной литературы</w:t>
      </w:r>
    </w:p>
    <w:p>
      <w:pPr>
        <w:pStyle w:val="Normal"/>
        <w:numPr>
          <w:ilvl w:val="0"/>
          <w:numId w:val="3"/>
        </w:numPr>
        <w:ind w:firstLine="15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Мандель Б.Р. Интеллектуальные игры как средство развития профессионально значимых качеств будущего специалиста социально-культурной сферы. Автореф. Дисс. КПН. 2005, дис.330 стр. Научная библиотека диссертаций и авторефератов [Электронный ресурс]. – Режим доступа: URL</w:t>
      </w:r>
      <w:r>
        <w:fldChar w:fldCharType="begin"/>
      </w:r>
      <w:r>
        <w:instrText> HYPERLINK "http://www.dissercat.com/content/intellektualnye-igry-kak-sredstvo-razvitiya-professionalno-znachimykh-kachestv-budushchego-s" \l "ixzz4QTDOvB7u"</w:instrText>
      </w:r>
      <w:r>
        <w:fldChar w:fldCharType="separate"/>
      </w:r>
      <w:r>
        <w:rPr>
          <w:rStyle w:val="Style8"/>
          <w:rFonts w:eastAsia="Times New Roman" w:cs="Times New Roman" w:ascii="Times New Roman" w:hAnsi="Times New Roman"/>
          <w:sz w:val="24"/>
          <w:szCs w:val="24"/>
        </w:rPr>
        <w:t>http://www.dissercat.com/content/intellektualnye-igry-kak-sredstvo-razvitiya-professionalno-znachimykh-kachestv-budushchego-s#ixzz4QTDOvB7:u</w:t>
      </w:r>
      <w:r>
        <w:fldChar w:fldCharType="end"/>
      </w:r>
    </w:p>
    <w:p>
      <w:pPr>
        <w:pStyle w:val="Normal"/>
        <w:numPr>
          <w:ilvl w:val="0"/>
          <w:numId w:val="3"/>
        </w:numPr>
        <w:ind w:firstLine="15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Профессиональные знания и навыки медсестры. Сайт: Медицинская история. [Электронный ресурс]. – Режим доступа: URL: </w:t>
      </w:r>
      <w:hyperlink r:id="rId2">
        <w:r>
          <w:rPr>
            <w:webHidden/>
            <w:rStyle w:val="Style8"/>
            <w:rFonts w:eastAsia="Times New Roman" w:cs="Times New Roman" w:ascii="Times New Roman" w:hAnsi="Times New Roman"/>
            <w:sz w:val="24"/>
            <w:szCs w:val="24"/>
          </w:rPr>
          <w:t>http://www.medihistory.ru/sestrinskoe-delo/professionalnie-znaniya-i-naviki-medsestri.html</w:t>
        </w:r>
      </w:hyperlink>
      <w:r>
        <w:rPr>
          <w:rFonts w:eastAsia="Times New Roman" w:cs="Times New Roman" w:ascii="Times New Roman" w:hAnsi="Times New Roman"/>
          <w:sz w:val="24"/>
          <w:szCs w:val="24"/>
        </w:rPr>
        <w:t xml:space="preserve">  </w:t>
      </w:r>
    </w:p>
    <w:p>
      <w:pPr>
        <w:pStyle w:val="Normal"/>
        <w:numPr>
          <w:ilvl w:val="0"/>
          <w:numId w:val="3"/>
        </w:numPr>
        <w:ind w:left="720" w:hanging="36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Медицинская генетика: Учебник  / под ред. Н.П. Бочкова. - москва : ГЭОТАР-Медиа, 2021. - 224 с. : ил.</w:t>
      </w:r>
      <w:r>
        <w:br w:type="page"/>
      </w:r>
    </w:p>
    <w:p>
      <w:pPr>
        <w:pStyle w:val="1"/>
        <w:widowControl w:val="false"/>
        <w:spacing w:lineRule="auto" w:line="240" w:before="240" w:after="0"/>
        <w:jc w:val="right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bookmarkStart w:id="11" w:name="_4qjcj4fxhmhi"/>
      <w:bookmarkEnd w:id="11"/>
      <w:r>
        <w:rPr>
          <w:rFonts w:eastAsia="Times New Roman" w:cs="Times New Roman" w:ascii="Times New Roman" w:hAnsi="Times New Roman"/>
          <w:b/>
          <w:sz w:val="24"/>
          <w:szCs w:val="24"/>
        </w:rPr>
        <w:t>Приложение 1</w:t>
      </w:r>
    </w:p>
    <w:p>
      <w:pPr>
        <w:pStyle w:val="Normal"/>
        <w:widowControl w:val="false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Ход занятия:</w:t>
      </w:r>
    </w:p>
    <w:p>
      <w:pPr>
        <w:pStyle w:val="Normal"/>
        <w:widowControl w:val="false"/>
        <w:numPr>
          <w:ilvl w:val="0"/>
          <w:numId w:val="6"/>
        </w:numPr>
        <w:ind w:left="720" w:hanging="36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Организация группы</w:t>
      </w:r>
    </w:p>
    <w:p>
      <w:pPr>
        <w:pStyle w:val="Normal"/>
        <w:widowControl w:val="false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Приветствие учителя и учащихся друг друга, создание доброжелательной рабочей атмосферы в аудитории, проверка готовности студентов к занятию.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Комментарий плана работы на мероприятие.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Добрый день! Ребята, уважаемые коллеги! Я приветствую всех вас на нашем сегодняшнем мероприятии. </w:t>
      </w:r>
    </w:p>
    <w:p>
      <w:pPr>
        <w:pStyle w:val="Normal"/>
        <w:widowControl w:val="false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Стадия «вызов». Актуализация, целеполагание, мотивация.</w:t>
      </w:r>
    </w:p>
    <w:p>
      <w:pPr>
        <w:pStyle w:val="Normal"/>
        <w:widowControl w:val="false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Преподаватель сообщает тему занятия, цели, критерии оценивания на занятии, предлагает студентам вспомнить всё, что они знают о генетики человека.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Ребята, мы заканчиваем с вами к изучение курса – «Генетика человека с основами медицинской генетики».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Тема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нашего сегодняшнего занятия: «Генетика человека»,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цель которого: </w:t>
      </w:r>
      <w:r>
        <w:rPr>
          <w:rFonts w:eastAsia="Times New Roman" w:cs="Times New Roman" w:ascii="Times New Roman" w:hAnsi="Times New Roman"/>
          <w:sz w:val="24"/>
          <w:szCs w:val="24"/>
        </w:rPr>
        <w:t>обобщить ранее полученные знания.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И мы начинаем наш учебный квиз, для кого-то сегодня будет "Звездный час".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Для вас, мои уважаемые коллеги, я приготовила различные заморочки, распутав которые мы решим основные задачи занятия.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Актуализация знаний</w:t>
      </w:r>
      <w:r>
        <w:rPr>
          <w:rFonts w:eastAsia="Times New Roman" w:cs="Times New Roman" w:ascii="Times New Roman" w:hAnsi="Times New Roman"/>
          <w:sz w:val="24"/>
          <w:szCs w:val="24"/>
        </w:rPr>
        <w:t>: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2)</w:t>
      </w:r>
      <w:r>
        <w:rPr>
          <w:rFonts w:eastAsia="Times New Roman" w:cs="Times New Roman" w:ascii="Times New Roman" w:hAnsi="Times New Roman"/>
          <w:sz w:val="24"/>
          <w:szCs w:val="24"/>
        </w:rPr>
        <w:tab/>
        <w:t>Перед вами первая заморочка - ребус, разгадав, который мы узнаем тему первого раунда.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ХРОМОСОМА  </w:t>
      </w:r>
      <w:r>
        <w:rPr>
          <w:rFonts w:eastAsia="Times New Roman" w:cs="Times New Roman" w:ascii="Times New Roman" w:hAnsi="Times New Roman"/>
          <w:sz w:val="24"/>
          <w:szCs w:val="24"/>
        </w:rPr>
        <w:t>(щелчок) и 1 раунд «Цитохимические основы наследственности»</w:t>
      </w:r>
    </w:p>
    <w:p>
      <w:pPr>
        <w:pStyle w:val="Normal"/>
        <w:widowControl w:val="false"/>
        <w:ind w:firstLine="4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В этом раунде мы должны вспомнить узловые вопросы теории, а для этого проведем экспресс-опрос. (щелчок)</w:t>
      </w:r>
    </w:p>
    <w:p>
      <w:pPr>
        <w:pStyle w:val="Normal"/>
        <w:widowControl w:val="false"/>
        <w:ind w:firstLine="4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3)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Материальным субстратом наследственности и изменчивости являются нуклеиновые кислоты - это полимеры, состоящие из мономеров</w:t>
      </w:r>
    </w:p>
    <w:p>
      <w:pPr>
        <w:pStyle w:val="Normal"/>
        <w:widowControl w:val="false"/>
        <w:ind w:firstLine="425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Что является структурно- функциональной  единицей (мономером) нуклеиновой кислоты и из чего он состоит?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 нуклеотид: азотистое основание, углевод, остаток фосфорной к-ты</w:t>
      </w:r>
    </w:p>
    <w:p>
      <w:pPr>
        <w:pStyle w:val="Normal"/>
        <w:widowControl w:val="false"/>
        <w:ind w:firstLine="4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4)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Хромосомы– нуклеопротеидные структуры в ядрах эукариот, которые являются единицами морфологической организации генетического материала и обеспечивают его точное распределение при делении клетки.</w:t>
      </w:r>
    </w:p>
    <w:p>
      <w:pPr>
        <w:pStyle w:val="Normal"/>
        <w:widowControl w:val="false"/>
        <w:ind w:firstLine="425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Нуклеопротеидная нить, половинка двойной хромосомы – это…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(щелчок)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хроматида</w:t>
      </w:r>
    </w:p>
    <w:p>
      <w:pPr>
        <w:pStyle w:val="Normal"/>
        <w:widowControl w:val="false"/>
        <w:ind w:firstLine="42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5)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 зависимости от места расположения центромеры хромосомы делят на метацентрические, субметацентрические, акроцентрические</w:t>
      </w:r>
    </w:p>
    <w:p>
      <w:pPr>
        <w:pStyle w:val="Normal"/>
        <w:widowControl w:val="false"/>
        <w:ind w:firstLine="425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К какому виду хромосом относится Х-хромосома и Y-хромосома?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X-хромосома – субметацентрическая (средняя) Y-хромосома – акроцентрическая (маленькая) </w:t>
      </w:r>
      <w:r>
        <w:rPr>
          <w:rFonts w:eastAsia="Times New Roman" w:cs="Times New Roman" w:ascii="Times New Roman" w:hAnsi="Times New Roman"/>
          <w:sz w:val="24"/>
          <w:szCs w:val="24"/>
        </w:rPr>
        <w:t>(щелчок)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6)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Способность ДНК к самокопированию, основное свойство материала наследственности. Любая дочерняя молекула ДНК состоит из одной старой и одной новой полинуклеотидной цепи. Назовите этот процесс (щелчок)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репликация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(щелчок)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7)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 Гены, расположенные в одинаковых участках (локусах) гомологичных хромосом и определяющие альтернативные варианты развития одного и того же признака, называют…  (щелчок)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 аллельные гены </w:t>
      </w:r>
      <w:r>
        <w:rPr>
          <w:rFonts w:eastAsia="Times New Roman" w:cs="Times New Roman" w:ascii="Times New Roman" w:hAnsi="Times New Roman"/>
          <w:sz w:val="24"/>
          <w:szCs w:val="24"/>
        </w:rPr>
        <w:t>(щелчок)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Итак, подведем итог 1 раунда, мы вспомнили узловые вопросы теории.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А для всех вас сложная замочка:  (щелчок) (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Слайд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8)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разгадав ребус вы узнаете, о чем пойдет речь в следующем раунде (щелчок)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2 раунд. История генетики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(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Слайд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9)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первая заморочка 2 раунда… щелчок Основоположник учения о наследственности. Открытие им закономерностей наследования моногенных признаков стало первым шагом на пути к современной генетике. Кто это и  как называются эти закономерности? щелчок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Грегор Мендель, законы наследования признаков, законы Менделя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10)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Лауреат Нобелевской премии по физиологии и медицине 1933 года «За открытия, связанные с ролью хромосом в наследственности». Кто это? (щелчок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Томас Хант Мо́рган(1866 - 1945)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11)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В 1962 году им была присуждена Нобелевская премия по физиологии и медицине за открытие, которое они сделали в 1953 г.? Кто они ЩЕЛЧОК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Фрэнсис Крик (1916 - 2004) и Джеймс Дьюи Уотсон (1928 )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12)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В молекуле ДНК общее количество адениновых равно количеству тиминовых остатков,  а количество гуаниновых остатков — количеству цитозиновых.  Назовите автора этого правила.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Эрвин Чаргафф (1905 - 2002)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13)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 2003 году США и в 2009 году в России был официально провозглашен Международный день ДНК. Назовите дату и какие 2 события произошли в этот день? щелчок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25 апреля 1953 года в журнале Nature ученые Джеймс Уотсон и Фрэнсис Крик совместно с Морисом Уилкинсом и Розалинд Франклин опубликовали результаты исследования структуры молекулы ДНК. Ровно 50 лет спустя, 25 апреля 2003 года, было объявлено, что проект по расшифровке генома человека близок к завершению.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и мы с вами переходим к 3 РАУНДУ.  Наследственность и изменчивость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14) «Методы исследования»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Для генетических исследований человек является неудобным объектом.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Назовите метод исследования, изучающий родословную ЩЕЛЧОК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генеалогический </w:t>
      </w:r>
      <w:r>
        <w:rPr>
          <w:rFonts w:eastAsia="Times New Roman" w:cs="Times New Roman" w:ascii="Times New Roman" w:hAnsi="Times New Roman"/>
          <w:sz w:val="24"/>
          <w:szCs w:val="24"/>
        </w:rPr>
        <w:t>щелчок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15)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Условия жизни оказывают серьезное влияния на проявление наследственных задатков. Какой метод в генетике используют для выявления роли окружающей среды и наследственности на развитие различных признаков. щелчок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близнецовый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16)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Этот метод является одними из самых молодых и развивающихся направлений в медицинской генетике. Какой диагностический метод может быть применен для выявления заболеваний плода?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Пренатальная диагностика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«Наследование признаков»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17)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Вид взаимодействия аллельных генов, при котором фенотип гетерозигот не отличается от  фенотипа гомозигот по доминанте Назовите этот вид взаимодействия аллельных генов. щелчок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Доминирование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(щелчок)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18)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Группа крови — врожденное свойство человека и неизменна в течение всей его жизни (онтогенеза). В системе АВ0 наследование определяется аллелями гена: 0, А, В. Наследование резус-фактора определяется аллелями Rh+ и rh-. Какое взаимодействие генов проявляется при наследовании каждой группы крови и резус-фактора? Для IV группы характерно кодоминирование.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Для I, II, III группы и резус-фактора характерно полное доминирование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19) Очень сложная заморочка (щелчок)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В родильном доме в новогоднюю ночь одновременно родились два мальчика, имевших II и IV группы крови. У родильницы Анны Р. III группа крови, а у Кристины А. – I группа крови. Ваша задача, как медицинского работника определить, кто и чей ребенок. Ответ обоснуйте.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Сын Анны Р. (В) имеет IV группу крови (АВ), а Кристины А.(0) - II(А0) группу крови.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щелчок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20)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Отец страдает одновременно гемофилией и дальтонизмом.  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Какова вероятность, что его сын получит только один из этих патологических генов? Ответ обоснуйте.(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0%, т.к. гены и гемофилии, и дальтонизма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сцеплены с Х-хромосомой, а от отца сын получает только У-хромосому</w:t>
      </w:r>
      <w:r>
        <w:rPr>
          <w:rFonts w:eastAsia="Times New Roman" w:cs="Times New Roman" w:ascii="Times New Roman" w:hAnsi="Times New Roman"/>
          <w:sz w:val="24"/>
          <w:szCs w:val="24"/>
        </w:rPr>
        <w:t>) щелчок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21) </w:t>
      </w:r>
      <w:r>
        <w:rPr>
          <w:rFonts w:eastAsia="Times New Roman" w:cs="Times New Roman" w:ascii="Times New Roman" w:hAnsi="Times New Roman"/>
          <w:sz w:val="24"/>
          <w:szCs w:val="24"/>
        </w:rPr>
        <w:t>На Земле проживает один вид рода Люди, Человек Разумный (Homo sapiens). Различные проявления фенотипа организма, которые происходят в пределах данного генотипа, называются нормой реакции. Как отразилась на росте и форме тела адаптация к геоклиматическим условиям у северных и южных народов? (щелчок)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        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  Южане – худые и высокие, Северяне – приземистые и широкие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22 )</w:t>
      </w:r>
      <w:r>
        <w:rPr>
          <w:rFonts w:eastAsia="Times New Roman" w:cs="Times New Roman" w:ascii="Times New Roman" w:hAnsi="Times New Roman"/>
          <w:sz w:val="24"/>
          <w:szCs w:val="24"/>
        </w:rPr>
        <w:t>Изменчивость, вызванная действием на организм мутагенов, вследствие чего возникают мутации.  Называется …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Мутационная изменчивость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23)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Кроссинго́вер (от англ. crossing over — пересечение или перекрёст) — процесс обмена участками гомологичных хромосом во время конъюгации в профазе I мейоза.  Какой вид изменчивости основан на кроссинговере?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Комбинативная изменчивость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24)  </w:t>
      </w:r>
      <w:r>
        <w:rPr>
          <w:rFonts w:eastAsia="Times New Roman" w:cs="Times New Roman" w:ascii="Times New Roman" w:hAnsi="Times New Roman"/>
          <w:sz w:val="24"/>
          <w:szCs w:val="24"/>
        </w:rPr>
        <w:t>Очередная заморочка от кота в мешке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(щелчок)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мутация ребус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25) </w:t>
      </w:r>
      <w:r>
        <w:rPr>
          <w:rFonts w:eastAsia="Times New Roman" w:cs="Times New Roman" w:ascii="Times New Roman" w:hAnsi="Times New Roman"/>
          <w:sz w:val="24"/>
          <w:szCs w:val="24"/>
        </w:rPr>
        <w:t>«Мутагены»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Мутагены - химические и физические факторы, вызывающие мутации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</w:t>
      </w:r>
      <w:r>
        <w:rPr>
          <w:rFonts w:eastAsia="Times New Roman" w:cs="Times New Roman" w:ascii="Times New Roman" w:hAnsi="Times New Roman"/>
          <w:sz w:val="24"/>
          <w:szCs w:val="24"/>
        </w:rPr>
        <w:t>К чему приводит мутация в соматических клетках у взрослого человека?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К злокачественным опухолям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26)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Мутационная изменчивость — изменчивость, вызванная действием на организм мутагенов, вследствие чего возникают мутации.  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Возбудители каких четырех заболеваний, потенциально опасны для нормального развития плода во время беременности?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Опасные мутагены для плода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TORCH-инфекции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Toxoplasmosis (токсоплазмоз)   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Rubella (краснуха)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Cytomegalovirus (цитомегаловирус)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Herpes (герпес)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27)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Геномные мутации – это изменение числа хромосом в клетках организма. 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 подавляющем большинстве (до 94 %) случаев у больных синдромом Дауна обнаруживается этот тип геномной мутации: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некратное геному увеличение числа хромосом на одну , вследствие нерасхождения 21 пары гомологичных хромосом в мейозе. 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Какой тип геномной мутации?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ГАПЛОИДИЯ</w:t>
        <w:tab/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ГЕТЕРОПЛОИДИЯ (АНЕУПЛОИДИЯ)</w:t>
        <w:tab/>
      </w:r>
      <w:r>
        <w:rPr>
          <w:rFonts w:eastAsia="Times New Roman" w:cs="Times New Roman" w:ascii="Times New Roman" w:hAnsi="Times New Roman"/>
          <w:sz w:val="24"/>
          <w:szCs w:val="24"/>
        </w:rPr>
        <w:t>ПОЛИПЛОИДИЯ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28)</w:t>
      </w:r>
      <w:r>
        <w:rPr>
          <w:rFonts w:eastAsia="Times New Roman" w:cs="Times New Roman" w:ascii="Times New Roman" w:hAnsi="Times New Roman"/>
          <w:sz w:val="24"/>
          <w:szCs w:val="24"/>
        </w:rPr>
        <w:t>Около 4 % случаев у больных синдромом Дауна обусловлено этим типом хромосомной мутации, при которой происходит перенос участка хромосомы на негомологичную хромосому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Какой тип хромосомной мутации проявляется?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ДУПЛИКАЦИЯ </w:t>
        <w:tab/>
        <w:t xml:space="preserve">ДЕЛЕЦИЯ </w:t>
        <w:tab/>
        <w:tab/>
        <w:t xml:space="preserve">ИНВЕРСИЯ </w:t>
        <w:tab/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ТРАНСЛОКАЦИЯ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29) </w:t>
      </w:r>
      <w:r>
        <w:rPr>
          <w:rFonts w:eastAsia="Times New Roman" w:cs="Times New Roman" w:ascii="Times New Roman" w:hAnsi="Times New Roman"/>
          <w:sz w:val="24"/>
          <w:szCs w:val="24"/>
        </w:rPr>
        <w:t>синдром Лежёна (синдром "Кошачьего крика") - это хромосомное заболевание, связанное с изменением строения короткого плеча пятой хромосомы (5р) (утрата от трети до половины, реже полная утрата).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Какой тип хромосомной мутации проявляется?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ДУПЛИКАЦИЯ </w:t>
        <w:tab/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ДЕЛЕЦИЯ </w:t>
      </w:r>
      <w:r>
        <w:rPr>
          <w:rFonts w:eastAsia="Times New Roman" w:cs="Times New Roman" w:ascii="Times New Roman" w:hAnsi="Times New Roman"/>
          <w:sz w:val="24"/>
          <w:szCs w:val="24"/>
        </w:rPr>
        <w:tab/>
        <w:tab/>
        <w:t xml:space="preserve">ИНВЕРСИЯ </w:t>
        <w:tab/>
        <w:t>ТРАНСЛОКАЦИЯ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30)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Тельце Барра (X-половой хроматин) — свёрнутая в плотную структуру неактивная X-хромосома, наблюдаемая в интерфазных ядрах соматических клеток. Какой синдром будет диагностирован у юноши, если у него обнаружено тельце Барра? Синдром Шерешевского-Тернера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Синдром Клайнфельтера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Адреногенитальный синдром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31) </w:t>
      </w:r>
      <w:r>
        <w:rPr>
          <w:rFonts w:eastAsia="Times New Roman" w:cs="Times New Roman" w:ascii="Times New Roman" w:hAnsi="Times New Roman"/>
          <w:sz w:val="24"/>
          <w:szCs w:val="24"/>
        </w:rPr>
        <w:t>В результате нерасхождения половых хромосом при сперматогенезе образовались сперматозоиды с генотипом 22,0 и 22,XY. Какой синдром может развиться у ребенка, если в яйцеклетку попадет сперматозоид с генотипом 22,0?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Синдром Шерешевского-Тернера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Синдром Патау Синдром Эдвардса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32)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Наследственное заболевание соединительной ткани, проявляющееся изменениями скелета: высоким ростом с относительно коротким туловищем, длинными паукообразными пальцами (арахнодактилия), разболтанностью суставов, часто сколиозом, кифозом, деформациями грудной клетки, аркообразным небом.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 95% случаев заболевание вызывают мутации в гене белка фибриллина (FBN1), который локализован на 15q21.1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Болезнь Реклингхаузена Синдром Холт-Орама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Синдром Марфана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(Слайд 33)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Наследственное заболевание, обусловленное наличие патологического гена локализованного в середине длинного плеча 7-й хромосомы и характеризующееся поражением желез внешней секреции, тяжёлыми нарушениями функций органов дыхания и желудочно-кишечного тракта. При этом заболевании слизь в организме слишком густая.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Муковисцидоз </w:t>
      </w:r>
      <w:r>
        <w:rPr>
          <w:rFonts w:eastAsia="Times New Roman" w:cs="Times New Roman" w:ascii="Times New Roman" w:hAnsi="Times New Roman"/>
          <w:sz w:val="24"/>
          <w:szCs w:val="24"/>
        </w:rPr>
        <w:t>Синдром Холт-Орама Врожденный гипотиреоз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подведем предварительный итог. трое сильнейших примут участие в заключительном раунде. прошу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(щелчок)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34)</w:t>
      </w:r>
      <w:r>
        <w:rPr>
          <w:rFonts w:eastAsia="Times New Roman" w:cs="Times New Roman" w:ascii="Times New Roman" w:hAnsi="Times New Roman"/>
          <w:sz w:val="24"/>
          <w:szCs w:val="24"/>
        </w:rPr>
        <w:t>(щелчок) «Орфанные болезни»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Орфанные, или редкие болезни - это заболевания, которые затрагивают незначительную часть человеческой популяции.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Редкое генетическое заболевание, проявляющееся преждевременным и ускоренным старением организма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прогерия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(принцип "Поля чудес")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i/>
          <w:sz w:val="24"/>
          <w:szCs w:val="24"/>
        </w:rPr>
      </w:r>
    </w:p>
    <w:tbl>
      <w:tblPr>
        <w:tblStyle w:val="Table2"/>
        <w:tblW w:w="10206" w:type="dxa"/>
        <w:jc w:val="center"/>
        <w:tblInd w:w="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100" w:type="dxa"/>
          <w:left w:w="90" w:type="dxa"/>
          <w:bottom w:w="100" w:type="dxa"/>
          <w:right w:w="100" w:type="dxa"/>
        </w:tblCellMar>
        <w:tblLook w:val="0600"/>
      </w:tblPr>
      <w:tblGrid>
        <w:gridCol w:w="1275"/>
        <w:gridCol w:w="1276"/>
        <w:gridCol w:w="1276"/>
        <w:gridCol w:w="1276"/>
        <w:gridCol w:w="1275"/>
        <w:gridCol w:w="1276"/>
        <w:gridCol w:w="1276"/>
        <w:gridCol w:w="1274"/>
      </w:tblGrid>
      <w:tr>
        <w:trPr/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0" w:type="dxa"/>
            </w:tcMar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</w:rPr>
              <w:t>п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</w:rPr>
              <w:t>р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</w:rPr>
              <w:t>о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12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</w:rPr>
              <w:t>р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</w:rPr>
              <w:t>и</w:t>
            </w:r>
          </w:p>
        </w:tc>
        <w:tc>
          <w:tcPr>
            <w:tcW w:w="12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fill="auto" w:val="clear"/>
            <w:tcMar>
              <w:left w:w="90" w:type="dxa"/>
            </w:tcMar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</w:rPr>
              <w:t>я</w:t>
            </w:r>
          </w:p>
        </w:tc>
      </w:tr>
    </w:tbl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i/>
          <w:sz w:val="24"/>
          <w:szCs w:val="24"/>
        </w:rPr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(щелчок) 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Итак. победитель…. </w:t>
      </w:r>
    </w:p>
    <w:p>
      <w:pPr>
        <w:pStyle w:val="Normal"/>
        <w:widowControl w:val="false"/>
        <w:ind w:firstLine="567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(Слайд 35) Спасибо за внимание    До новых встреч</w:t>
      </w:r>
    </w:p>
    <w:p>
      <w:pPr>
        <w:pStyle w:val="Normal"/>
        <w:rPr/>
      </w:pPr>
      <w:r>
        <w:rPr/>
      </w:r>
    </w:p>
    <w:sectPr>
      <w:footerReference w:type="default" r:id="rId3"/>
      <w:footerReference w:type="first" r:id="rId4"/>
      <w:type w:val="nextPage"/>
      <w:pgSz w:w="11906" w:h="16838"/>
      <w:pgMar w:left="850" w:right="850" w:header="0" w:top="566" w:footer="720" w:bottom="777" w:gutter="0"/>
      <w:pgNumType w:start="0" w:fmt="decimal"/>
      <w:formProt w:val="false"/>
      <w:titlePg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Trebuchet MS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Noto Sans Symbols">
    <w:charset w:val="01"/>
    <w:family w:val="auto"/>
    <w:pitch w:val="default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sz w:val="24"/>
        <w:rFonts w:ascii="Times New Roman" w:hAnsi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⮚"/>
      <w:lvlJc w:val="left"/>
      <w:pPr>
        <w:ind w:left="1571" w:hanging="360"/>
      </w:pPr>
      <w:rPr>
        <w:rFonts w:ascii="Noto Sans Symbols" w:hAnsi="Noto Sans Symbols" w:cs="Noto Sans Symbols" w:hint="default"/>
        <w:sz w:val="24"/>
        <w:b/>
        <w:rFonts w:cs="Noto Sans Symbols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5">
    <w:lvl w:ilvl="0">
      <w:start w:val="1"/>
      <w:numFmt w:val="bullet"/>
      <w:lvlText w:val="−"/>
      <w:lvlJc w:val="left"/>
      <w:pPr>
        <w:ind w:left="1500" w:hanging="360"/>
      </w:pPr>
      <w:rPr>
        <w:rFonts w:ascii="Noto Sans Symbols" w:hAnsi="Noto Sans Symbols" w:cs="Noto Sans Symbols" w:hint="default"/>
        <w:sz w:val="24"/>
        <w:rFonts w:cs="Noto Sans Symbols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2940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3660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5100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820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7260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2">
      <w:start w:val="1"/>
      <w:numFmt w:val="decimal"/>
      <w:lvlText w:val="%3."/>
      <w:lvlJc w:val="left"/>
      <w:pPr>
        <w:ind w:left="216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3">
      <w:start w:val="1"/>
      <w:numFmt w:val="decimal"/>
      <w:lvlText w:val="%4."/>
      <w:lvlJc w:val="left"/>
      <w:pPr>
        <w:ind w:left="288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4">
      <w:start w:val="1"/>
      <w:numFmt w:val="decimal"/>
      <w:lvlText w:val="%5."/>
      <w:lvlJc w:val="left"/>
      <w:pPr>
        <w:ind w:left="360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5">
      <w:start w:val="1"/>
      <w:numFmt w:val="decimal"/>
      <w:lvlText w:val="%6."/>
      <w:lvlJc w:val="left"/>
      <w:pPr>
        <w:ind w:left="432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6">
      <w:start w:val="1"/>
      <w:numFmt w:val="decimal"/>
      <w:lvlText w:val="%7."/>
      <w:lvlJc w:val="left"/>
      <w:pPr>
        <w:ind w:left="504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7">
      <w:start w:val="1"/>
      <w:numFmt w:val="decimal"/>
      <w:lvlText w:val="%8."/>
      <w:lvlJc w:val="left"/>
      <w:pPr>
        <w:ind w:left="576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8">
      <w:start w:val="1"/>
      <w:numFmt w:val="decimal"/>
      <w:lvlText w:val="%9."/>
      <w:lvlJc w:val="left"/>
      <w:pPr>
        <w:ind w:left="648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sz w:val="24"/>
        <w:rFonts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88" w:hanging="360"/>
      </w:pPr>
      <w:rPr>
        <w:rFonts w:ascii="Noto Sans Symbols" w:hAnsi="Noto Sans Symbols" w:cs="Noto Sans Symbols" w:hint="default"/>
        <w:sz w:val="24"/>
        <w:rFonts w:cs="Noto Sans Symbols"/>
      </w:rPr>
    </w:lvl>
    <w:lvl w:ilvl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▪"/>
      <w:lvlJc w:val="left"/>
      <w:pPr>
        <w:ind w:left="2228" w:hanging="360"/>
      </w:pPr>
      <w:rPr>
        <w:rFonts w:ascii="Noto Sans Symbols" w:hAnsi="Noto Sans Symbols" w:cs="Noto Sans Symbols" w:hint="default"/>
        <w:rFonts w:cs="Noto Sans Symbols"/>
      </w:rPr>
    </w:lvl>
    <w:lvl w:ilvl="3">
      <w:start w:val="1"/>
      <w:numFmt w:val="bullet"/>
      <w:lvlText w:val="●"/>
      <w:lvlJc w:val="left"/>
      <w:pPr>
        <w:ind w:left="2948" w:hanging="360"/>
      </w:pPr>
      <w:rPr>
        <w:rFonts w:ascii="Noto Sans Symbols" w:hAnsi="Noto Sans Symbols" w:cs="Noto Sans Symbols" w:hint="default"/>
        <w:rFonts w:cs="Noto Sans Symbols"/>
      </w:rPr>
    </w:lvl>
    <w:lvl w:ilvl="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▪"/>
      <w:lvlJc w:val="left"/>
      <w:pPr>
        <w:ind w:left="4388" w:hanging="360"/>
      </w:pPr>
      <w:rPr>
        <w:rFonts w:ascii="Noto Sans Symbols" w:hAnsi="Noto Sans Symbols" w:cs="Noto Sans Symbols" w:hint="default"/>
        <w:rFonts w:cs="Noto Sans Symbols"/>
      </w:rPr>
    </w:lvl>
    <w:lvl w:ilvl="6">
      <w:start w:val="1"/>
      <w:numFmt w:val="bullet"/>
      <w:lvlText w:val="●"/>
      <w:lvlJc w:val="left"/>
      <w:pPr>
        <w:ind w:left="5108" w:hanging="360"/>
      </w:pPr>
      <w:rPr>
        <w:rFonts w:ascii="Noto Sans Symbols" w:hAnsi="Noto Sans Symbols" w:cs="Noto Sans Symbols" w:hint="default"/>
        <w:rFonts w:cs="Noto Sans Symbols"/>
      </w:rPr>
    </w:lvl>
    <w:lvl w:ilvl="7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▪"/>
      <w:lvlJc w:val="left"/>
      <w:pPr>
        <w:ind w:left="6548" w:hanging="360"/>
      </w:pPr>
      <w:rPr>
        <w:rFonts w:ascii="Noto Sans Symbols" w:hAnsi="Noto Sans Symbols" w:cs="Noto Sans Symbols" w:hint="default"/>
        <w:rFonts w:cs="Noto Sans Symbols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2">
      <w:start w:val="1"/>
      <w:numFmt w:val="decimal"/>
      <w:lvlText w:val="%3."/>
      <w:lvlJc w:val="left"/>
      <w:pPr>
        <w:ind w:left="216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3">
      <w:start w:val="1"/>
      <w:numFmt w:val="decimal"/>
      <w:lvlText w:val="%4."/>
      <w:lvlJc w:val="left"/>
      <w:pPr>
        <w:ind w:left="288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4">
      <w:start w:val="1"/>
      <w:numFmt w:val="decimal"/>
      <w:lvlText w:val="%5."/>
      <w:lvlJc w:val="left"/>
      <w:pPr>
        <w:ind w:left="360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5">
      <w:start w:val="1"/>
      <w:numFmt w:val="decimal"/>
      <w:lvlText w:val="%6."/>
      <w:lvlJc w:val="left"/>
      <w:pPr>
        <w:ind w:left="432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6">
      <w:start w:val="1"/>
      <w:numFmt w:val="decimal"/>
      <w:lvlText w:val="%7."/>
      <w:lvlJc w:val="left"/>
      <w:pPr>
        <w:ind w:left="504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7">
      <w:start w:val="1"/>
      <w:numFmt w:val="decimal"/>
      <w:lvlText w:val="%8."/>
      <w:lvlJc w:val="left"/>
      <w:pPr>
        <w:ind w:left="576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  <w:lvl w:ilvl="8">
      <w:start w:val="1"/>
      <w:numFmt w:val="decimal"/>
      <w:lvlText w:val="%9."/>
      <w:lvlJc w:val="left"/>
      <w:pPr>
        <w:ind w:left="6480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i w:val="false"/>
        <w:u w:val="none"/>
        <w:b w:val="false"/>
        <w:highlight w:val="white"/>
        <w:szCs w:val="20"/>
        <w:rFonts w:eastAsia="Times New Roman" w:cs="Times New Roman"/>
        <w:color w:val="000000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71"/>
  <w:displayBackgroundShape/>
  <w:defaultTabStop w:val="72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pacing w:lineRule="auto" w:line="276"/>
    </w:pPr>
    <w:rPr>
      <w:rFonts w:ascii="Arial" w:hAnsi="Arial" w:eastAsia="Arial" w:cs="Arial"/>
      <w:color w:val="auto"/>
      <w:sz w:val="22"/>
      <w:szCs w:val="22"/>
      <w:lang w:val="ru" w:eastAsia="zh-CN" w:bidi="hi-IN"/>
    </w:rPr>
  </w:style>
  <w:style w:type="paragraph" w:styleId="1">
    <w:name w:val="Heading 1"/>
    <w:basedOn w:val="Normal1"/>
    <w:next w:val="Normal"/>
    <w:qFormat/>
    <w:pPr>
      <w:keepNext/>
      <w:keepLines/>
      <w:pageBreakBefore w:val="false"/>
      <w:spacing w:lineRule="auto" w:line="240" w:before="200" w:after="0"/>
    </w:pPr>
    <w:rPr>
      <w:rFonts w:ascii="Trebuchet MS" w:hAnsi="Trebuchet MS" w:eastAsia="Trebuchet MS" w:cs="Trebuchet MS"/>
      <w:sz w:val="32"/>
      <w:szCs w:val="32"/>
    </w:rPr>
  </w:style>
  <w:style w:type="paragraph" w:styleId="2">
    <w:name w:val="Heading 2"/>
    <w:basedOn w:val="Normal1"/>
    <w:next w:val="Normal"/>
    <w:qFormat/>
    <w:pPr>
      <w:keepNext/>
      <w:keepLines/>
      <w:pageBreakBefore w:val="false"/>
      <w:spacing w:lineRule="auto" w:line="240" w:before="200" w:after="0"/>
    </w:pPr>
    <w:rPr>
      <w:rFonts w:ascii="Trebuchet MS" w:hAnsi="Trebuchet MS" w:eastAsia="Trebuchet MS" w:cs="Trebuchet MS"/>
      <w:b/>
      <w:sz w:val="26"/>
      <w:szCs w:val="26"/>
    </w:rPr>
  </w:style>
  <w:style w:type="paragraph" w:styleId="3">
    <w:name w:val="Heading 3"/>
    <w:basedOn w:val="Normal1"/>
    <w:next w:val="Normal"/>
    <w:qFormat/>
    <w:pPr>
      <w:keepNext/>
      <w:keepLines/>
      <w:pageBreakBefore w:val="false"/>
      <w:spacing w:lineRule="auto" w:line="240" w:before="160" w:after="0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4">
    <w:name w:val="Heading 4"/>
    <w:basedOn w:val="Normal1"/>
    <w:next w:val="Normal"/>
    <w:qFormat/>
    <w:pPr>
      <w:keepNext/>
      <w:keepLines/>
      <w:pageBreakBefore w:val="false"/>
      <w:spacing w:lineRule="auto" w:line="240" w:before="160" w:after="0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5">
    <w:name w:val="Heading 5"/>
    <w:basedOn w:val="Normal1"/>
    <w:next w:val="Normal"/>
    <w:qFormat/>
    <w:pPr>
      <w:keepNext/>
      <w:keepLines/>
      <w:pageBreakBefore w:val="false"/>
      <w:spacing w:lineRule="auto" w:line="240" w:before="160" w:after="0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6">
    <w:name w:val="Heading 6"/>
    <w:basedOn w:val="Normal1"/>
    <w:next w:val="Normal"/>
    <w:qFormat/>
    <w:pPr>
      <w:keepNext/>
      <w:keepLines/>
      <w:pageBreakBefore w:val="false"/>
      <w:spacing w:lineRule="auto" w:line="240" w:before="160" w:after="0"/>
    </w:pPr>
    <w:rPr>
      <w:rFonts w:ascii="Trebuchet MS" w:hAnsi="Trebuchet MS" w:eastAsia="Trebuchet MS" w:cs="Trebuchet MS"/>
      <w:i/>
      <w:color w:val="666666"/>
      <w:sz w:val="22"/>
      <w:szCs w:val="22"/>
    </w:rPr>
  </w:style>
  <w:style w:type="character" w:styleId="ListLabel1">
    <w:name w:val="ListLabel 1"/>
    <w:qFormat/>
    <w:rPr>
      <w:rFonts w:ascii="Times New Roman" w:hAnsi="Times New Roman"/>
      <w:color w:val="000000"/>
      <w:sz w:val="24"/>
    </w:rPr>
  </w:style>
  <w:style w:type="character" w:styleId="ListLabel2">
    <w:name w:val="ListLabel 2"/>
    <w:qFormat/>
    <w:rPr>
      <w:rFonts w:ascii="Times New Roman" w:hAnsi="Times New Roman" w:eastAsia="Noto Sans Symbols" w:cs="Noto Sans Symbols"/>
      <w:b/>
      <w:sz w:val="24"/>
    </w:rPr>
  </w:style>
  <w:style w:type="character" w:styleId="ListLabel3">
    <w:name w:val="ListLabel 3"/>
    <w:qFormat/>
    <w:rPr>
      <w:rFonts w:eastAsia="Courier New" w:cs="Courier New"/>
    </w:rPr>
  </w:style>
  <w:style w:type="character" w:styleId="ListLabel4">
    <w:name w:val="ListLabel 4"/>
    <w:qFormat/>
    <w:rPr>
      <w:rFonts w:eastAsia="Noto Sans Symbols" w:cs="Noto Sans Symbols"/>
    </w:rPr>
  </w:style>
  <w:style w:type="character" w:styleId="ListLabel5">
    <w:name w:val="ListLabel 5"/>
    <w:qFormat/>
    <w:rPr>
      <w:rFonts w:eastAsia="Noto Sans Symbols" w:cs="Noto Sans Symbols"/>
    </w:rPr>
  </w:style>
  <w:style w:type="character" w:styleId="ListLabel6">
    <w:name w:val="ListLabel 6"/>
    <w:qFormat/>
    <w:rPr>
      <w:rFonts w:eastAsia="Courier New" w:cs="Courier New"/>
    </w:rPr>
  </w:style>
  <w:style w:type="character" w:styleId="ListLabel7">
    <w:name w:val="ListLabel 7"/>
    <w:qFormat/>
    <w:rPr>
      <w:rFonts w:eastAsia="Noto Sans Symbols" w:cs="Noto Sans Symbols"/>
    </w:rPr>
  </w:style>
  <w:style w:type="character" w:styleId="ListLabel8">
    <w:name w:val="ListLabel 8"/>
    <w:qFormat/>
    <w:rPr>
      <w:rFonts w:eastAsia="Noto Sans Symbols" w:cs="Noto Sans Symbols"/>
    </w:rPr>
  </w:style>
  <w:style w:type="character" w:styleId="ListLabel9">
    <w:name w:val="ListLabel 9"/>
    <w:qFormat/>
    <w:rPr>
      <w:rFonts w:eastAsia="Courier New" w:cs="Courier New"/>
    </w:rPr>
  </w:style>
  <w:style w:type="character" w:styleId="ListLabel10">
    <w:name w:val="ListLabel 10"/>
    <w:qFormat/>
    <w:rPr>
      <w:rFonts w:eastAsia="Noto Sans Symbols" w:cs="Noto Sans Symbols"/>
    </w:rPr>
  </w:style>
  <w:style w:type="character" w:styleId="ListLabel11">
    <w:name w:val="ListLabel 11"/>
    <w:qFormat/>
    <w:rPr>
      <w:rFonts w:ascii="Times New Roman" w:hAnsi="Times New Roman" w:eastAsia="Noto Sans Symbols" w:cs="Noto Sans Symbols"/>
      <w:sz w:val="24"/>
    </w:rPr>
  </w:style>
  <w:style w:type="character" w:styleId="ListLabel12">
    <w:name w:val="ListLabel 12"/>
    <w:qFormat/>
    <w:rPr>
      <w:rFonts w:eastAsia="Courier New" w:cs="Courier New"/>
    </w:rPr>
  </w:style>
  <w:style w:type="character" w:styleId="ListLabel13">
    <w:name w:val="ListLabel 13"/>
    <w:qFormat/>
    <w:rPr>
      <w:rFonts w:eastAsia="Noto Sans Symbols" w:cs="Noto Sans Symbols"/>
    </w:rPr>
  </w:style>
  <w:style w:type="character" w:styleId="ListLabel14">
    <w:name w:val="ListLabel 14"/>
    <w:qFormat/>
    <w:rPr>
      <w:rFonts w:eastAsia="Noto Sans Symbols" w:cs="Noto Sans Symbols"/>
    </w:rPr>
  </w:style>
  <w:style w:type="character" w:styleId="ListLabel15">
    <w:name w:val="ListLabel 15"/>
    <w:qFormat/>
    <w:rPr>
      <w:rFonts w:eastAsia="Courier New" w:cs="Courier New"/>
    </w:rPr>
  </w:style>
  <w:style w:type="character" w:styleId="ListLabel16">
    <w:name w:val="ListLabel 16"/>
    <w:qFormat/>
    <w:rPr>
      <w:rFonts w:eastAsia="Noto Sans Symbols" w:cs="Noto Sans Symbols"/>
    </w:rPr>
  </w:style>
  <w:style w:type="character" w:styleId="ListLabel17">
    <w:name w:val="ListLabel 17"/>
    <w:qFormat/>
    <w:rPr>
      <w:rFonts w:eastAsia="Noto Sans Symbols" w:cs="Noto Sans Symbols"/>
    </w:rPr>
  </w:style>
  <w:style w:type="character" w:styleId="ListLabel18">
    <w:name w:val="ListLabel 18"/>
    <w:qFormat/>
    <w:rPr>
      <w:rFonts w:eastAsia="Courier New" w:cs="Courier New"/>
    </w:rPr>
  </w:style>
  <w:style w:type="character" w:styleId="ListLabel19">
    <w:name w:val="ListLabel 19"/>
    <w:qFormat/>
    <w:rPr>
      <w:rFonts w:eastAsia="Noto Sans Symbols" w:cs="Noto Sans Symbols"/>
    </w:rPr>
  </w:style>
  <w:style w:type="character" w:styleId="ListLabel20">
    <w:name w:val="ListLabel 20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0"/>
      <w:highlight w:val="white"/>
      <w:u w:val="none"/>
      <w:vertAlign w:val="baseline"/>
    </w:rPr>
  </w:style>
  <w:style w:type="character" w:styleId="ListLabel21">
    <w:name w:val="ListLabel 21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22">
    <w:name w:val="ListLabel 22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23">
    <w:name w:val="ListLabel 23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24">
    <w:name w:val="ListLabel 24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25">
    <w:name w:val="ListLabel 25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26">
    <w:name w:val="ListLabel 26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27">
    <w:name w:val="ListLabel 27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28">
    <w:name w:val="ListLabel 28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29">
    <w:name w:val="ListLabel 29"/>
    <w:qFormat/>
    <w:rPr>
      <w:rFonts w:ascii="Times New Roman" w:hAnsi="Times New Roman" w:eastAsia="Noto Sans Symbols" w:cs="Noto Sans Symbols"/>
      <w:sz w:val="24"/>
    </w:rPr>
  </w:style>
  <w:style w:type="character" w:styleId="ListLabel30">
    <w:name w:val="ListLabel 30"/>
    <w:qFormat/>
    <w:rPr>
      <w:rFonts w:eastAsia="Courier New" w:cs="Courier New"/>
    </w:rPr>
  </w:style>
  <w:style w:type="character" w:styleId="ListLabel31">
    <w:name w:val="ListLabel 31"/>
    <w:qFormat/>
    <w:rPr>
      <w:rFonts w:eastAsia="Noto Sans Symbols" w:cs="Noto Sans Symbols"/>
    </w:rPr>
  </w:style>
  <w:style w:type="character" w:styleId="ListLabel32">
    <w:name w:val="ListLabel 32"/>
    <w:qFormat/>
    <w:rPr>
      <w:rFonts w:eastAsia="Noto Sans Symbols" w:cs="Noto Sans Symbols"/>
    </w:rPr>
  </w:style>
  <w:style w:type="character" w:styleId="ListLabel33">
    <w:name w:val="ListLabel 33"/>
    <w:qFormat/>
    <w:rPr>
      <w:rFonts w:eastAsia="Courier New" w:cs="Courier New"/>
    </w:rPr>
  </w:style>
  <w:style w:type="character" w:styleId="ListLabel34">
    <w:name w:val="ListLabel 34"/>
    <w:qFormat/>
    <w:rPr>
      <w:rFonts w:eastAsia="Noto Sans Symbols" w:cs="Noto Sans Symbols"/>
    </w:rPr>
  </w:style>
  <w:style w:type="character" w:styleId="ListLabel35">
    <w:name w:val="ListLabel 35"/>
    <w:qFormat/>
    <w:rPr>
      <w:rFonts w:eastAsia="Noto Sans Symbols" w:cs="Noto Sans Symbols"/>
    </w:rPr>
  </w:style>
  <w:style w:type="character" w:styleId="ListLabel36">
    <w:name w:val="ListLabel 36"/>
    <w:qFormat/>
    <w:rPr>
      <w:rFonts w:eastAsia="Courier New" w:cs="Courier New"/>
    </w:rPr>
  </w:style>
  <w:style w:type="character" w:styleId="ListLabel37">
    <w:name w:val="ListLabel 37"/>
    <w:qFormat/>
    <w:rPr>
      <w:rFonts w:eastAsia="Noto Sans Symbols" w:cs="Noto Sans Symbols"/>
    </w:rPr>
  </w:style>
  <w:style w:type="character" w:styleId="ListLabel38">
    <w:name w:val="ListLabel 38"/>
    <w:qFormat/>
    <w:rPr>
      <w:rFonts w:ascii="Times New Roman" w:hAnsi="Times New Roman" w:eastAsia="Noto Sans Symbols" w:cs="Noto Sans Symbols"/>
      <w:sz w:val="24"/>
    </w:rPr>
  </w:style>
  <w:style w:type="character" w:styleId="ListLabel39">
    <w:name w:val="ListLabel 39"/>
    <w:qFormat/>
    <w:rPr>
      <w:rFonts w:eastAsia="Courier New" w:cs="Courier New"/>
    </w:rPr>
  </w:style>
  <w:style w:type="character" w:styleId="ListLabel40">
    <w:name w:val="ListLabel 40"/>
    <w:qFormat/>
    <w:rPr>
      <w:rFonts w:eastAsia="Noto Sans Symbols" w:cs="Noto Sans Symbols"/>
    </w:rPr>
  </w:style>
  <w:style w:type="character" w:styleId="ListLabel41">
    <w:name w:val="ListLabel 41"/>
    <w:qFormat/>
    <w:rPr>
      <w:rFonts w:eastAsia="Noto Sans Symbols" w:cs="Noto Sans Symbols"/>
    </w:rPr>
  </w:style>
  <w:style w:type="character" w:styleId="ListLabel42">
    <w:name w:val="ListLabel 42"/>
    <w:qFormat/>
    <w:rPr>
      <w:rFonts w:eastAsia="Courier New" w:cs="Courier New"/>
    </w:rPr>
  </w:style>
  <w:style w:type="character" w:styleId="ListLabel43">
    <w:name w:val="ListLabel 43"/>
    <w:qFormat/>
    <w:rPr>
      <w:rFonts w:eastAsia="Noto Sans Symbols" w:cs="Noto Sans Symbols"/>
    </w:rPr>
  </w:style>
  <w:style w:type="character" w:styleId="ListLabel44">
    <w:name w:val="ListLabel 44"/>
    <w:qFormat/>
    <w:rPr>
      <w:rFonts w:eastAsia="Noto Sans Symbols" w:cs="Noto Sans Symbols"/>
    </w:rPr>
  </w:style>
  <w:style w:type="character" w:styleId="ListLabel45">
    <w:name w:val="ListLabel 45"/>
    <w:qFormat/>
    <w:rPr>
      <w:rFonts w:eastAsia="Courier New" w:cs="Courier New"/>
    </w:rPr>
  </w:style>
  <w:style w:type="character" w:styleId="ListLabel46">
    <w:name w:val="ListLabel 46"/>
    <w:qFormat/>
    <w:rPr>
      <w:rFonts w:eastAsia="Noto Sans Symbols" w:cs="Noto Sans Symbols"/>
    </w:rPr>
  </w:style>
  <w:style w:type="character" w:styleId="ListLabel47">
    <w:name w:val="ListLabel 47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0"/>
      <w:highlight w:val="white"/>
      <w:u w:val="none"/>
      <w:vertAlign w:val="baseline"/>
    </w:rPr>
  </w:style>
  <w:style w:type="character" w:styleId="ListLabel48">
    <w:name w:val="ListLabel 48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49">
    <w:name w:val="ListLabel 49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50">
    <w:name w:val="ListLabel 50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51">
    <w:name w:val="ListLabel 51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52">
    <w:name w:val="ListLabel 52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53">
    <w:name w:val="ListLabel 53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54">
    <w:name w:val="ListLabel 54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ListLabel55">
    <w:name w:val="ListLabel 55"/>
    <w:qFormat/>
    <w:rPr>
      <w:rFonts w:eastAsia="Times New Roman" w:cs="Times New Roman"/>
      <w:b w:val="false"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highlight w:val="white"/>
      <w:u w:val="none"/>
      <w:vertAlign w:val="baseline"/>
    </w:rPr>
  </w:style>
  <w:style w:type="character" w:styleId="Style8">
    <w:name w:val="Интернет-ссылка"/>
    <w:rPr>
      <w:color w:val="000080"/>
      <w:u w:val="single"/>
      <w:lang w:val="zxx" w:eastAsia="zxx" w:bidi="zxx"/>
    </w:rPr>
  </w:style>
  <w:style w:type="character" w:styleId="Style9">
    <w:name w:val="Ссылка указателя"/>
    <w:qFormat/>
    <w:rPr/>
  </w:style>
  <w:style w:type="paragraph" w:styleId="Style10">
    <w:name w:val="Заголовок"/>
    <w:basedOn w:val="Normal"/>
    <w:next w:val="Style11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1">
    <w:name w:val="Body Text"/>
    <w:basedOn w:val="Normal"/>
    <w:pPr>
      <w:spacing w:lineRule="auto" w:line="288" w:before="0" w:after="140"/>
    </w:pPr>
    <w:rPr/>
  </w:style>
  <w:style w:type="paragraph" w:styleId="Style12">
    <w:name w:val="List"/>
    <w:basedOn w:val="Style11"/>
    <w:pPr/>
    <w:rPr>
      <w:rFonts w:cs="Mangal"/>
    </w:rPr>
  </w:style>
  <w:style w:type="paragraph" w:styleId="Style13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Mangal"/>
    </w:rPr>
  </w:style>
  <w:style w:type="paragraph" w:styleId="Normal1" w:default="1">
    <w:name w:val="LO-normal"/>
    <w:qFormat/>
    <w:pPr>
      <w:widowControl/>
      <w:bidi w:val="0"/>
      <w:jc w:val="left"/>
    </w:pPr>
    <w:rPr>
      <w:rFonts w:ascii="Arial" w:hAnsi="Arial" w:eastAsia="Arial" w:cs="Arial"/>
      <w:color w:val="auto"/>
      <w:sz w:val="22"/>
      <w:szCs w:val="22"/>
      <w:lang w:val="ru" w:eastAsia="zh-CN" w:bidi="hi-IN"/>
    </w:rPr>
  </w:style>
  <w:style w:type="paragraph" w:styleId="Style15">
    <w:name w:val="Title"/>
    <w:basedOn w:val="Normal1"/>
    <w:next w:val="Normal"/>
    <w:qFormat/>
    <w:pPr>
      <w:keepNext/>
      <w:keepLines/>
      <w:pageBreakBefore w:val="false"/>
      <w:spacing w:lineRule="auto" w:line="240" w:before="0" w:after="0"/>
    </w:pPr>
    <w:rPr>
      <w:rFonts w:ascii="Trebuchet MS" w:hAnsi="Trebuchet MS" w:eastAsia="Trebuchet MS" w:cs="Trebuchet MS"/>
      <w:sz w:val="42"/>
      <w:szCs w:val="42"/>
    </w:rPr>
  </w:style>
  <w:style w:type="paragraph" w:styleId="Style16">
    <w:name w:val="Subtitle"/>
    <w:basedOn w:val="Normal1"/>
    <w:next w:val="Normal"/>
    <w:qFormat/>
    <w:pPr>
      <w:keepNext/>
      <w:keepLines/>
      <w:pageBreakBefore w:val="false"/>
      <w:spacing w:lineRule="auto" w:line="240"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Style17">
    <w:name w:val="Footer"/>
    <w:basedOn w:val="Normal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medihistory.ru/sestrinskoe-delo/professionalnie-znaniya-i-naviki-medsestri.html" TargetMode="Externa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LibreOffice/5.2.3.3$Windows_x86 LibreOffice_project/d54a8868f08a7b39642414cf2c8ef2f228f780cf</Application>
  <Pages>10</Pages>
  <Words>2484</Words>
  <Characters>17684</Characters>
  <CharactersWithSpaces>20113</CharactersWithSpaces>
  <Paragraphs>209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2022-03-31T19:17:19Z</dcterms:modified>
  <cp:revision>1</cp:revision>
  <dc:subject/>
  <dc:title/>
</cp:coreProperties>
</file>